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69" w:rsidRPr="00EA5F4D" w:rsidRDefault="00314C49" w:rsidP="002A6169">
      <w:pPr>
        <w:jc w:val="right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Toruń, dn. 18</w:t>
      </w:r>
      <w:r w:rsidR="002A6169" w:rsidRPr="00EA5F4D">
        <w:rPr>
          <w:rFonts w:ascii="Sylfaen" w:hAnsi="Sylfaen"/>
          <w:sz w:val="22"/>
          <w:szCs w:val="22"/>
          <w:lang w:val="pl-PL"/>
        </w:rPr>
        <w:t>.06.2024 r.</w:t>
      </w:r>
    </w:p>
    <w:p w:rsidR="002A6169" w:rsidRPr="00EA5F4D" w:rsidRDefault="002A6169" w:rsidP="002A6169">
      <w:pPr>
        <w:rPr>
          <w:rFonts w:ascii="Sylfaen" w:hAnsi="Sylfaen"/>
          <w:sz w:val="22"/>
          <w:szCs w:val="22"/>
          <w:lang w:val="pl-PL"/>
        </w:rPr>
      </w:pPr>
    </w:p>
    <w:p w:rsidR="002A6169" w:rsidRPr="00EA5F4D" w:rsidRDefault="002A6169" w:rsidP="002A6169">
      <w:pPr>
        <w:rPr>
          <w:rFonts w:ascii="Sylfaen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L.dz. SSM.DZP.200.92.2024</w:t>
      </w:r>
    </w:p>
    <w:p w:rsidR="002A6169" w:rsidRPr="00EA5F4D" w:rsidRDefault="002A6169" w:rsidP="002A6169">
      <w:pPr>
        <w:jc w:val="both"/>
        <w:rPr>
          <w:rFonts w:ascii="Sylfaen" w:hAnsi="Sylfaen"/>
          <w:sz w:val="22"/>
          <w:szCs w:val="22"/>
          <w:lang w:val="pl-PL"/>
        </w:rPr>
      </w:pPr>
    </w:p>
    <w:p w:rsidR="002A6169" w:rsidRPr="00EA5F4D" w:rsidRDefault="002A6169" w:rsidP="002A6169">
      <w:pPr>
        <w:jc w:val="both"/>
        <w:rPr>
          <w:rFonts w:ascii="Sylfaen" w:hAnsi="Sylfaen"/>
          <w:b/>
          <w:bCs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 xml:space="preserve">dotyczy: postępowania o udzielenie zamówienia publiczne w trybie podstawowym na </w:t>
      </w:r>
      <w:r w:rsidRPr="00EA5F4D">
        <w:rPr>
          <w:rFonts w:ascii="Sylfaen" w:hAnsi="Sylfaen"/>
          <w:b/>
          <w:bCs/>
          <w:sz w:val="22"/>
          <w:szCs w:val="22"/>
          <w:lang w:val="pl-PL"/>
        </w:rPr>
        <w:t>„Dostawę odczynników do immunochemii II wraz z dzierżawą analizatora”.</w:t>
      </w:r>
    </w:p>
    <w:p w:rsidR="002A6169" w:rsidRPr="00EA5F4D" w:rsidRDefault="002A6169" w:rsidP="002A6169">
      <w:pPr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p w:rsidR="002A6169" w:rsidRPr="00EA5F4D" w:rsidRDefault="002A6169" w:rsidP="002A6169">
      <w:pPr>
        <w:ind w:firstLine="708"/>
        <w:jc w:val="both"/>
        <w:rPr>
          <w:rFonts w:ascii="Sylfaen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EA5F4D">
        <w:rPr>
          <w:rFonts w:ascii="Sylfaen" w:hAnsi="Sylfaen"/>
          <w:sz w:val="22"/>
          <w:szCs w:val="22"/>
          <w:lang w:val="pl-PL"/>
        </w:rPr>
        <w:t>t.j</w:t>
      </w:r>
      <w:proofErr w:type="spellEnd"/>
      <w:r w:rsidRPr="00EA5F4D">
        <w:rPr>
          <w:rFonts w:ascii="Sylfaen" w:hAnsi="Sylfaen"/>
          <w:sz w:val="22"/>
          <w:szCs w:val="22"/>
          <w:lang w:val="pl-PL"/>
        </w:rPr>
        <w:t>. Dz. U. z 2023 r., poz. 1605 ze zm.), następujących wyjaśnień:</w:t>
      </w:r>
    </w:p>
    <w:p w:rsidR="002A6169" w:rsidRPr="002A6169" w:rsidRDefault="002A6169" w:rsidP="002A6169">
      <w:pPr>
        <w:jc w:val="both"/>
        <w:rPr>
          <w:rFonts w:ascii="Sylfaen" w:hAnsi="Sylfaen"/>
          <w:lang w:val="pl-PL"/>
        </w:rPr>
      </w:pPr>
    </w:p>
    <w:p w:rsidR="002A6169" w:rsidRPr="00EA5F4D" w:rsidRDefault="002A6169" w:rsidP="002A6169">
      <w:pPr>
        <w:ind w:left="720"/>
        <w:jc w:val="both"/>
        <w:rPr>
          <w:rFonts w:ascii="Sylfaen" w:eastAsia="Calibri" w:hAnsi="Sylfaen"/>
          <w:sz w:val="22"/>
          <w:szCs w:val="22"/>
          <w:lang w:val="pl-PL"/>
        </w:rPr>
      </w:pPr>
    </w:p>
    <w:p w:rsidR="002A6169" w:rsidRPr="00EA5F4D" w:rsidRDefault="002A6169" w:rsidP="002A6169">
      <w:pPr>
        <w:numPr>
          <w:ilvl w:val="0"/>
          <w:numId w:val="1"/>
        </w:numPr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>Dotyczy par. 3 ust. 13 umowy.</w:t>
      </w:r>
    </w:p>
    <w:p w:rsidR="002A6169" w:rsidRPr="00EA5F4D" w:rsidRDefault="002A6169" w:rsidP="002A6169">
      <w:pPr>
        <w:ind w:left="1080"/>
        <w:jc w:val="both"/>
        <w:rPr>
          <w:rFonts w:ascii="Sylfaen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Czy Zamawiający dopuszcza możliwość zgłaszania awarii analizatora telefonicznie 24 godziny na dobę na wskazany nr telefonu gdzie w godz. 8.00-21.00 jest dostępne wsparcie inżyniera serwisu a poza tymi godzinami jest możliwość pozostawienia wiadomości głosowej lub wysłania wiadomości mailowej ?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Odpowiedź: Patrz modyfikacja SWZ.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</w:p>
    <w:p w:rsidR="002A6169" w:rsidRPr="00EA5F4D" w:rsidRDefault="002A6169" w:rsidP="002A6169">
      <w:pPr>
        <w:numPr>
          <w:ilvl w:val="0"/>
          <w:numId w:val="1"/>
        </w:numPr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>Dotyczy par. 5 ust. 4 umowy</w:t>
      </w:r>
    </w:p>
    <w:p w:rsidR="002A6169" w:rsidRPr="00EA5F4D" w:rsidRDefault="002A6169" w:rsidP="002A6169">
      <w:pPr>
        <w:pStyle w:val="Akapitzlist"/>
        <w:ind w:left="1080"/>
        <w:jc w:val="both"/>
        <w:rPr>
          <w:rFonts w:ascii="Sylfaen" w:hAnsi="Sylfaen"/>
          <w:sz w:val="22"/>
          <w:szCs w:val="22"/>
          <w:lang w:val="pl-PL"/>
        </w:rPr>
      </w:pPr>
      <w:bookmarkStart w:id="0" w:name="_Hlk166655258"/>
      <w:r w:rsidRPr="00EA5F4D">
        <w:rPr>
          <w:rFonts w:ascii="Sylfaen" w:hAnsi="Sylfaen"/>
          <w:sz w:val="22"/>
          <w:szCs w:val="22"/>
          <w:lang w:val="pl-PL"/>
        </w:rPr>
        <w:t xml:space="preserve">Czy ze względu na wystąpienie przejściowego braku produktu Zamawiający dopuszcza możliwość podzielenia złożonego zamówienia na części, a w związku z tym również wystawienia faktur do odrębnie realizowanych części zamówienia? </w:t>
      </w:r>
    </w:p>
    <w:bookmarkEnd w:id="0"/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Odpowiedź: Zamawiający nie wyraża zgody na powyższe.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</w:p>
    <w:p w:rsidR="002A6169" w:rsidRPr="00EA5F4D" w:rsidRDefault="002A6169" w:rsidP="002A6169">
      <w:pPr>
        <w:numPr>
          <w:ilvl w:val="0"/>
          <w:numId w:val="1"/>
        </w:numPr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>Dotyczy par. 7 ust.1 pkt. 3) umowy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>Prosimy o wyrażenie zgody na zmianę zapisu na: „Dostawca zapłaci Odbiorcy kary umowne: 3) za zwłokę w wykonaniu obowiązków, określonych w par. 3 ust. 17 niniejszej Umowy, w wysokości 0,10% wartości netto dzierżawy określonej w par. 5 ust. 2”.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Odpowiedź: Zamawiający nie wyraża zgody na powyższe.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</w:p>
    <w:p w:rsidR="002A6169" w:rsidRPr="00EA5F4D" w:rsidRDefault="002A6169" w:rsidP="002A6169">
      <w:pPr>
        <w:numPr>
          <w:ilvl w:val="0"/>
          <w:numId w:val="1"/>
        </w:numPr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>Dotyczy par. 7 ust. 4 umowy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>Prosimy o zmianę wysokości maksymalnej wysokości  kar umownych z 30% wartości umowy brutto na 20%.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Odpowiedź: Zamawiający nie wyraża zgody na powyższe.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</w:p>
    <w:p w:rsidR="002A6169" w:rsidRPr="00EA5F4D" w:rsidRDefault="002A6169" w:rsidP="002A6169">
      <w:pPr>
        <w:numPr>
          <w:ilvl w:val="0"/>
          <w:numId w:val="1"/>
        </w:numPr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>Dotyczy par. 11 ust. 2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>Prosimy o wyrażenie zgody na rozpatrzenie reklamacji w terminie 3 dni roboczych od jej otrzymania.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Odpowiedź: Patrz modyfikacja SWZ.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</w:p>
    <w:p w:rsidR="002A6169" w:rsidRPr="00EA5F4D" w:rsidRDefault="002A6169" w:rsidP="002A6169">
      <w:pPr>
        <w:numPr>
          <w:ilvl w:val="0"/>
          <w:numId w:val="1"/>
        </w:numPr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>Dotyczy Załącznika nr 1 do SWZ, Formularz cenowy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 xml:space="preserve">Czy zamawiający wyrazi zgodę na zaoferowanie kontroli zewnątrz laboratoryjnej </w:t>
      </w:r>
      <w:proofErr w:type="spellStart"/>
      <w:r w:rsidRPr="00EA5F4D">
        <w:rPr>
          <w:rFonts w:ascii="Sylfaen" w:eastAsia="Calibri" w:hAnsi="Sylfaen"/>
          <w:sz w:val="22"/>
          <w:szCs w:val="22"/>
          <w:lang w:val="pl-PL"/>
        </w:rPr>
        <w:t>Labquality</w:t>
      </w:r>
      <w:proofErr w:type="spellEnd"/>
      <w:r w:rsidRPr="00EA5F4D">
        <w:rPr>
          <w:rFonts w:ascii="Sylfaen" w:eastAsia="Calibri" w:hAnsi="Sylfaen"/>
          <w:sz w:val="22"/>
          <w:szCs w:val="22"/>
          <w:lang w:val="pl-PL"/>
        </w:rPr>
        <w:t xml:space="preserve"> zamiast </w:t>
      </w:r>
      <w:proofErr w:type="spellStart"/>
      <w:r w:rsidRPr="00EA5F4D">
        <w:rPr>
          <w:rFonts w:ascii="Sylfaen" w:eastAsia="Calibri" w:hAnsi="Sylfaen"/>
          <w:sz w:val="22"/>
          <w:szCs w:val="22"/>
          <w:lang w:val="pl-PL"/>
        </w:rPr>
        <w:t>Randoxa</w:t>
      </w:r>
      <w:proofErr w:type="spellEnd"/>
      <w:r w:rsidRPr="00EA5F4D">
        <w:rPr>
          <w:rFonts w:ascii="Sylfaen" w:eastAsia="Calibri" w:hAnsi="Sylfaen"/>
          <w:sz w:val="22"/>
          <w:szCs w:val="22"/>
          <w:lang w:val="pl-PL"/>
        </w:rPr>
        <w:t xml:space="preserve"> dla większości parametrów, mając na uwadze, że wszystkie parametry wyszczególnione w formularzu asortymentowo-cenowym zostaną objęte kontrolą zewnątrz laboratoryjną?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Odpowiedź:</w:t>
      </w:r>
      <w:r w:rsidR="00B856CF" w:rsidRPr="00EA5F4D">
        <w:rPr>
          <w:rFonts w:ascii="Sylfaen" w:hAnsi="Sylfaen"/>
          <w:sz w:val="22"/>
          <w:szCs w:val="22"/>
          <w:lang w:val="pl-PL"/>
        </w:rPr>
        <w:t xml:space="preserve"> Patrz modyfikacja SWZ.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</w:p>
    <w:p w:rsidR="002A6169" w:rsidRPr="00EA5F4D" w:rsidRDefault="002A6169" w:rsidP="002A6169">
      <w:pPr>
        <w:numPr>
          <w:ilvl w:val="0"/>
          <w:numId w:val="1"/>
        </w:numPr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 xml:space="preserve">Prosimy o potwierdzenie, że w przypadku zaoferowania kontroli wieloparametrowej niezależnego producenta z wartościami dedykowanymi na oferowany analizator </w:t>
      </w:r>
      <w:r w:rsidR="00EA5F4D">
        <w:rPr>
          <w:rFonts w:ascii="Sylfaen" w:eastAsia="Calibri" w:hAnsi="Sylfaen"/>
          <w:sz w:val="22"/>
          <w:szCs w:val="22"/>
          <w:lang w:val="pl-PL"/>
        </w:rPr>
        <w:br/>
      </w:r>
      <w:r w:rsidRPr="00EA5F4D">
        <w:rPr>
          <w:rFonts w:ascii="Sylfaen" w:eastAsia="Calibri" w:hAnsi="Sylfaen"/>
          <w:sz w:val="22"/>
          <w:szCs w:val="22"/>
          <w:lang w:val="pl-PL"/>
        </w:rPr>
        <w:t>i odczynnik można zrezygnować z kontroli dedykowanej producenta odczynnika wymienionej i wymaganej w ulotce odczynnikowej. Zgoda na taki materiał kontrolny pozwoli na obniżenie kosztów oferty i pozwoli na korzystanie z renomowanego materiału kontrolnego wieloparametrowego, co jest rozwiązaniem wygodniejszym</w:t>
      </w:r>
      <w:r w:rsidR="00EA5F4D">
        <w:rPr>
          <w:rFonts w:ascii="Sylfaen" w:eastAsia="Calibri" w:hAnsi="Sylfaen"/>
          <w:sz w:val="22"/>
          <w:szCs w:val="22"/>
          <w:lang w:val="pl-PL"/>
        </w:rPr>
        <w:br/>
      </w:r>
      <w:r w:rsidRPr="00EA5F4D">
        <w:rPr>
          <w:rFonts w:ascii="Sylfaen" w:eastAsia="Calibri" w:hAnsi="Sylfaen"/>
          <w:sz w:val="22"/>
          <w:szCs w:val="22"/>
          <w:lang w:val="pl-PL"/>
        </w:rPr>
        <w:t xml:space="preserve"> w pracy Laboratorium i korzystniejszym ze względów ekonomicznych. Rozwiązanie takie jest powszechnie stosowane w praktyce laboratoryjnej?</w:t>
      </w:r>
    </w:p>
    <w:p w:rsidR="002A6169" w:rsidRPr="00EA5F4D" w:rsidRDefault="002A6169" w:rsidP="002A6169">
      <w:pPr>
        <w:pStyle w:val="Akapitzlist"/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Odpowiedź:</w:t>
      </w:r>
      <w:r w:rsidR="00E46D05" w:rsidRPr="00EA5F4D">
        <w:rPr>
          <w:rFonts w:ascii="Sylfaen" w:hAnsi="Sylfaen"/>
          <w:sz w:val="22"/>
          <w:szCs w:val="22"/>
          <w:lang w:val="pl-PL"/>
        </w:rPr>
        <w:t xml:space="preserve"> Tak, Zamawiający wyraża zgodę na zaoferowanie kontroli wieloparametrowej niezależnego producenta.</w:t>
      </w:r>
    </w:p>
    <w:p w:rsidR="002A6169" w:rsidRPr="00EA5F4D" w:rsidRDefault="002A6169" w:rsidP="002A6169">
      <w:pPr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</w:p>
    <w:p w:rsidR="002A6169" w:rsidRPr="00EA5F4D" w:rsidRDefault="002A6169" w:rsidP="002A6169">
      <w:pPr>
        <w:numPr>
          <w:ilvl w:val="0"/>
          <w:numId w:val="1"/>
        </w:numPr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>Czy Zamawiający wymaga, aby Wykonawca zaoferował dedykowane rozcieńczalniki służące do manualnego rozcieńczania próbek pacjentów w przypadku otrzymania wyników powyżej zakresu oznaczenia oznaczalności analizatora?</w:t>
      </w:r>
    </w:p>
    <w:p w:rsidR="002A6169" w:rsidRPr="00EA5F4D" w:rsidRDefault="002A6169" w:rsidP="002A6169">
      <w:pPr>
        <w:pStyle w:val="Akapitzlist"/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Odpowiedź:</w:t>
      </w:r>
      <w:r w:rsidR="00E46D05" w:rsidRPr="00EA5F4D">
        <w:rPr>
          <w:rFonts w:ascii="Sylfaen" w:hAnsi="Sylfaen"/>
          <w:sz w:val="22"/>
          <w:szCs w:val="22"/>
          <w:lang w:val="pl-PL"/>
        </w:rPr>
        <w:t xml:space="preserve"> Tak, Zamawiający wymaga zaoferowania dedykowanych odczynników do rozcieńczania manualnego.</w:t>
      </w:r>
    </w:p>
    <w:p w:rsidR="002A6169" w:rsidRPr="00EA5F4D" w:rsidRDefault="002A6169" w:rsidP="002A6169">
      <w:pPr>
        <w:pStyle w:val="Akapitzlist"/>
        <w:rPr>
          <w:rFonts w:ascii="Sylfaen" w:eastAsia="Calibri" w:hAnsi="Sylfaen"/>
          <w:sz w:val="22"/>
          <w:szCs w:val="22"/>
          <w:lang w:val="pl-PL"/>
        </w:rPr>
      </w:pPr>
    </w:p>
    <w:p w:rsidR="002A6169" w:rsidRPr="00EA5F4D" w:rsidRDefault="002A6169" w:rsidP="002A6169">
      <w:pPr>
        <w:numPr>
          <w:ilvl w:val="0"/>
          <w:numId w:val="1"/>
        </w:numPr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eastAsia="Calibri" w:hAnsi="Sylfaen"/>
          <w:sz w:val="22"/>
          <w:szCs w:val="22"/>
          <w:lang w:val="pl-PL"/>
        </w:rPr>
        <w:t>Prosimy Zamawiającego o informacje czy dla podanych ilości badań należy doliczyć testy na wykonanie kalibracji i kontroli?</w:t>
      </w:r>
    </w:p>
    <w:p w:rsidR="002A6169" w:rsidRPr="00EA5F4D" w:rsidRDefault="002A6169" w:rsidP="002A6169">
      <w:pPr>
        <w:pStyle w:val="Akapitzlist"/>
        <w:ind w:left="1080"/>
        <w:jc w:val="both"/>
        <w:rPr>
          <w:rFonts w:ascii="Sylfaen" w:eastAsia="Calibri" w:hAnsi="Sylfaen"/>
          <w:sz w:val="22"/>
          <w:szCs w:val="22"/>
          <w:lang w:val="pl-PL"/>
        </w:rPr>
      </w:pPr>
      <w:r w:rsidRPr="00EA5F4D">
        <w:rPr>
          <w:rFonts w:ascii="Sylfaen" w:hAnsi="Sylfaen"/>
          <w:sz w:val="22"/>
          <w:szCs w:val="22"/>
          <w:lang w:val="pl-PL"/>
        </w:rPr>
        <w:t>Odpowiedź:</w:t>
      </w:r>
      <w:r w:rsidR="00B856CF" w:rsidRPr="00EA5F4D">
        <w:rPr>
          <w:rFonts w:ascii="Sylfaen" w:hAnsi="Sylfaen"/>
          <w:sz w:val="22"/>
          <w:szCs w:val="22"/>
          <w:lang w:val="pl-PL"/>
        </w:rPr>
        <w:t xml:space="preserve"> Tak do podanych ilości należy doliczyć testy na kalibracje oraz kontrole prowadzone dwa razy w tygodniu naprzemiennie na 1 poziomie kontroli.</w:t>
      </w:r>
    </w:p>
    <w:p w:rsidR="00F318B0" w:rsidRPr="00EA5F4D" w:rsidRDefault="00F318B0">
      <w:pPr>
        <w:rPr>
          <w:rFonts w:ascii="Sylfaen" w:hAnsi="Sylfaen"/>
        </w:rPr>
      </w:pPr>
    </w:p>
    <w:sectPr w:rsidR="00F318B0" w:rsidRPr="00EA5F4D" w:rsidSect="00F3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1BC1"/>
    <w:multiLevelType w:val="hybridMultilevel"/>
    <w:tmpl w:val="C02CF00E"/>
    <w:lvl w:ilvl="0" w:tplc="66F0909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A6169"/>
    <w:rsid w:val="002A6169"/>
    <w:rsid w:val="00314C49"/>
    <w:rsid w:val="004A044A"/>
    <w:rsid w:val="00917979"/>
    <w:rsid w:val="00B856CF"/>
    <w:rsid w:val="00E46D05"/>
    <w:rsid w:val="00EA5F4D"/>
    <w:rsid w:val="00F3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A6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2024-06-17T21:31:00Z</dcterms:created>
  <dcterms:modified xsi:type="dcterms:W3CDTF">2024-06-17T22:14:00Z</dcterms:modified>
</cp:coreProperties>
</file>