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6AC72" w14:textId="55B9976D" w:rsidR="00D47448" w:rsidRPr="00607317" w:rsidRDefault="00D47448" w:rsidP="00D47448">
      <w:pPr>
        <w:spacing w:after="0" w:line="100" w:lineRule="atLeast"/>
        <w:jc w:val="right"/>
        <w:rPr>
          <w:rFonts w:ascii="Sylfaen" w:hAnsi="Sylfaen" w:cs="Sylfaen"/>
        </w:rPr>
      </w:pPr>
      <w:r w:rsidRPr="00607317">
        <w:rPr>
          <w:rFonts w:ascii="Sylfaen" w:hAnsi="Sylfaen" w:cs="Sylfaen"/>
        </w:rPr>
        <w:t xml:space="preserve">Toruń, dn. </w:t>
      </w:r>
      <w:r w:rsidR="00607317" w:rsidRPr="00607317">
        <w:rPr>
          <w:rFonts w:ascii="Sylfaen" w:hAnsi="Sylfaen" w:cs="Sylfaen"/>
        </w:rPr>
        <w:t>17</w:t>
      </w:r>
      <w:r w:rsidRPr="00607317">
        <w:rPr>
          <w:rFonts w:ascii="Sylfaen" w:hAnsi="Sylfaen" w:cs="Sylfaen"/>
        </w:rPr>
        <w:t>.0</w:t>
      </w:r>
      <w:r w:rsidR="00806F1D" w:rsidRPr="00607317">
        <w:rPr>
          <w:rFonts w:ascii="Sylfaen" w:hAnsi="Sylfaen" w:cs="Sylfaen"/>
        </w:rPr>
        <w:t>6</w:t>
      </w:r>
      <w:r w:rsidRPr="00607317">
        <w:rPr>
          <w:rFonts w:ascii="Sylfaen" w:hAnsi="Sylfaen" w:cs="Sylfaen"/>
        </w:rPr>
        <w:t>.2024 r.</w:t>
      </w:r>
    </w:p>
    <w:p w14:paraId="4CB247A9" w14:textId="77777777" w:rsidR="00D47448" w:rsidRPr="00607317" w:rsidRDefault="00D47448" w:rsidP="00D47448">
      <w:pPr>
        <w:spacing w:after="0" w:line="100" w:lineRule="atLeast"/>
        <w:rPr>
          <w:rFonts w:ascii="Sylfaen" w:hAnsi="Sylfaen" w:cs="Sylfaen"/>
        </w:rPr>
      </w:pPr>
    </w:p>
    <w:p w14:paraId="392C9DA9" w14:textId="77777777" w:rsidR="00CC44DD" w:rsidRPr="00607317" w:rsidRDefault="00CC44DD" w:rsidP="00D47448">
      <w:pPr>
        <w:spacing w:after="0" w:line="100" w:lineRule="atLeast"/>
        <w:rPr>
          <w:rFonts w:ascii="Sylfaen" w:hAnsi="Sylfaen" w:cs="Sylfaen"/>
        </w:rPr>
      </w:pPr>
    </w:p>
    <w:p w14:paraId="167BF109" w14:textId="77777777" w:rsidR="00CC44DD" w:rsidRPr="00607317" w:rsidRDefault="00CC44DD" w:rsidP="00D47448">
      <w:pPr>
        <w:spacing w:after="0" w:line="100" w:lineRule="atLeast"/>
        <w:rPr>
          <w:rFonts w:ascii="Sylfaen" w:hAnsi="Sylfaen" w:cs="Sylfaen"/>
        </w:rPr>
      </w:pPr>
    </w:p>
    <w:p w14:paraId="7F56E2E1" w14:textId="77777777" w:rsidR="00CC44DD" w:rsidRPr="00607317" w:rsidRDefault="00CC44DD" w:rsidP="00D47448">
      <w:pPr>
        <w:spacing w:after="0" w:line="100" w:lineRule="atLeast"/>
        <w:rPr>
          <w:rFonts w:ascii="Sylfaen" w:hAnsi="Sylfaen" w:cs="Sylfaen"/>
        </w:rPr>
      </w:pPr>
    </w:p>
    <w:p w14:paraId="6E740BB6" w14:textId="1D81B8B6" w:rsidR="00D47448" w:rsidRPr="00607317" w:rsidRDefault="00D47448" w:rsidP="00D47448">
      <w:pPr>
        <w:spacing w:after="0" w:line="100" w:lineRule="atLeast"/>
        <w:rPr>
          <w:rFonts w:ascii="Sylfaen" w:hAnsi="Sylfaen" w:cs="Sylfaen"/>
        </w:rPr>
      </w:pPr>
      <w:r w:rsidRPr="00607317">
        <w:rPr>
          <w:rFonts w:ascii="Sylfaen" w:hAnsi="Sylfaen" w:cs="Sylfaen"/>
        </w:rPr>
        <w:t>L.dz. SSM.DZP.200.</w:t>
      </w:r>
      <w:r w:rsidR="00607317" w:rsidRPr="00607317">
        <w:rPr>
          <w:rFonts w:ascii="Sylfaen" w:hAnsi="Sylfaen" w:cs="Sylfaen"/>
        </w:rPr>
        <w:t>87</w:t>
      </w:r>
      <w:r w:rsidRPr="00607317">
        <w:rPr>
          <w:rFonts w:ascii="Sylfaen" w:hAnsi="Sylfaen" w:cs="Sylfaen"/>
        </w:rPr>
        <w:t>.2024</w:t>
      </w:r>
    </w:p>
    <w:p w14:paraId="74F245D7" w14:textId="77777777" w:rsidR="00D47448" w:rsidRPr="00607317" w:rsidRDefault="00D47448" w:rsidP="00D47448">
      <w:pPr>
        <w:spacing w:after="0" w:line="100" w:lineRule="atLeast"/>
        <w:jc w:val="both"/>
        <w:rPr>
          <w:rFonts w:ascii="Sylfaen" w:hAnsi="Sylfaen" w:cs="Sylfaen"/>
        </w:rPr>
      </w:pPr>
    </w:p>
    <w:p w14:paraId="0D6E4BB5" w14:textId="746DEDF9" w:rsidR="00D47448" w:rsidRPr="00607317" w:rsidRDefault="00D47448" w:rsidP="00D47448">
      <w:pPr>
        <w:numPr>
          <w:ilvl w:val="1"/>
          <w:numId w:val="1"/>
        </w:numPr>
        <w:spacing w:after="0" w:line="100" w:lineRule="atLeast"/>
        <w:ind w:left="0" w:firstLine="0"/>
        <w:jc w:val="both"/>
        <w:rPr>
          <w:rFonts w:ascii="Sylfaen" w:hAnsi="Sylfaen" w:cs="Sylfaen"/>
          <w:u w:val="single"/>
        </w:rPr>
      </w:pPr>
      <w:r w:rsidRPr="00607317">
        <w:rPr>
          <w:rFonts w:ascii="Sylfaen" w:hAnsi="Sylfaen" w:cs="Sylfaen"/>
          <w:u w:val="single"/>
        </w:rPr>
        <w:t>dotyczy: postępowania o udzielenie zamówienia publiczne w trybie przetargu nieograniczonego na „Dostaw</w:t>
      </w:r>
      <w:r w:rsidR="00607317" w:rsidRPr="00607317">
        <w:rPr>
          <w:rFonts w:ascii="Sylfaen" w:hAnsi="Sylfaen" w:cs="Sylfaen"/>
          <w:u w:val="single"/>
        </w:rPr>
        <w:t>a rezonansu i tomografu komputerowego</w:t>
      </w:r>
      <w:r w:rsidRPr="00607317">
        <w:rPr>
          <w:rFonts w:ascii="Sylfaen" w:hAnsi="Sylfaen" w:cs="Sylfaen"/>
          <w:u w:val="single"/>
        </w:rPr>
        <w:t>”.</w:t>
      </w:r>
    </w:p>
    <w:p w14:paraId="5B5B294E" w14:textId="77777777" w:rsidR="00D47448" w:rsidRPr="00607317" w:rsidRDefault="00D47448" w:rsidP="00806F1D">
      <w:pPr>
        <w:spacing w:after="0" w:line="100" w:lineRule="atLeast"/>
        <w:jc w:val="both"/>
        <w:rPr>
          <w:rFonts w:ascii="Sylfaen" w:hAnsi="Sylfaen" w:cs="Sylfaen"/>
        </w:rPr>
      </w:pPr>
    </w:p>
    <w:p w14:paraId="2711AB8F" w14:textId="77777777" w:rsidR="00CC44DD" w:rsidRPr="00607317" w:rsidRDefault="00CC44DD" w:rsidP="00203872">
      <w:pPr>
        <w:pStyle w:val="Nagwek1"/>
        <w:spacing w:before="0" w:after="0"/>
        <w:ind w:firstLine="708"/>
        <w:jc w:val="both"/>
        <w:rPr>
          <w:rFonts w:ascii="Sylfaen" w:hAnsi="Sylfaen" w:cs="Times New Roman"/>
          <w:b w:val="0"/>
          <w:sz w:val="22"/>
          <w:szCs w:val="22"/>
        </w:rPr>
      </w:pPr>
    </w:p>
    <w:p w14:paraId="508443B2" w14:textId="3043D8B1" w:rsidR="00203872" w:rsidRPr="00607317" w:rsidRDefault="00203872" w:rsidP="00203872">
      <w:pPr>
        <w:pStyle w:val="Nagwek1"/>
        <w:spacing w:before="0" w:after="0"/>
        <w:ind w:firstLine="708"/>
        <w:jc w:val="both"/>
        <w:rPr>
          <w:rFonts w:ascii="Sylfaen" w:hAnsi="Sylfaen" w:cs="Times New Roman"/>
          <w:b w:val="0"/>
          <w:sz w:val="22"/>
          <w:szCs w:val="22"/>
          <w:lang w:val="pl-PL"/>
        </w:rPr>
      </w:pPr>
      <w:r w:rsidRPr="00607317">
        <w:rPr>
          <w:rFonts w:ascii="Sylfaen" w:hAnsi="Sylfaen" w:cs="Times New Roman"/>
          <w:b w:val="0"/>
          <w:sz w:val="22"/>
          <w:szCs w:val="22"/>
        </w:rPr>
        <w:t xml:space="preserve">W związku ze skierowanym przez Wykonawcę w dniu </w:t>
      </w:r>
      <w:r w:rsidR="00607317" w:rsidRPr="00607317">
        <w:rPr>
          <w:rFonts w:ascii="Sylfaen" w:hAnsi="Sylfaen" w:cs="Times New Roman"/>
          <w:b w:val="0"/>
          <w:sz w:val="22"/>
          <w:szCs w:val="22"/>
        </w:rPr>
        <w:t>11</w:t>
      </w:r>
      <w:r w:rsidRPr="00607317">
        <w:rPr>
          <w:rFonts w:ascii="Sylfaen" w:hAnsi="Sylfaen" w:cs="Times New Roman"/>
          <w:b w:val="0"/>
          <w:sz w:val="22"/>
          <w:szCs w:val="22"/>
          <w:lang w:val="pl-PL"/>
        </w:rPr>
        <w:t>.</w:t>
      </w:r>
      <w:r w:rsidR="008A0BBC" w:rsidRPr="00607317">
        <w:rPr>
          <w:rFonts w:ascii="Sylfaen" w:hAnsi="Sylfaen" w:cs="Times New Roman"/>
          <w:b w:val="0"/>
          <w:sz w:val="22"/>
          <w:szCs w:val="22"/>
          <w:lang w:val="pl-PL"/>
        </w:rPr>
        <w:t>0</w:t>
      </w:r>
      <w:r w:rsidR="00607317" w:rsidRPr="00607317">
        <w:rPr>
          <w:rFonts w:ascii="Sylfaen" w:hAnsi="Sylfaen" w:cs="Times New Roman"/>
          <w:b w:val="0"/>
          <w:sz w:val="22"/>
          <w:szCs w:val="22"/>
          <w:lang w:val="pl-PL"/>
        </w:rPr>
        <w:t>6</w:t>
      </w:r>
      <w:r w:rsidR="008A0BBC" w:rsidRPr="00607317">
        <w:rPr>
          <w:rFonts w:ascii="Sylfaen" w:hAnsi="Sylfaen" w:cs="Times New Roman"/>
          <w:b w:val="0"/>
          <w:sz w:val="22"/>
          <w:szCs w:val="22"/>
          <w:lang w:val="pl-PL"/>
        </w:rPr>
        <w:t>.</w:t>
      </w:r>
      <w:r w:rsidRPr="00607317">
        <w:rPr>
          <w:rFonts w:ascii="Sylfaen" w:hAnsi="Sylfaen" w:cs="Times New Roman"/>
          <w:b w:val="0"/>
          <w:sz w:val="22"/>
          <w:szCs w:val="22"/>
        </w:rPr>
        <w:t>202</w:t>
      </w:r>
      <w:r w:rsidR="008A0BBC" w:rsidRPr="00607317">
        <w:rPr>
          <w:rFonts w:ascii="Sylfaen" w:hAnsi="Sylfaen" w:cs="Times New Roman"/>
          <w:b w:val="0"/>
          <w:sz w:val="22"/>
          <w:szCs w:val="22"/>
          <w:lang w:val="pl-PL"/>
        </w:rPr>
        <w:t>4</w:t>
      </w:r>
      <w:r w:rsidRPr="00607317">
        <w:rPr>
          <w:rFonts w:ascii="Sylfaen" w:hAnsi="Sylfaen" w:cs="Times New Roman"/>
          <w:b w:val="0"/>
          <w:sz w:val="22"/>
          <w:szCs w:val="22"/>
        </w:rPr>
        <w:t xml:space="preserve"> r. pytan</w:t>
      </w:r>
      <w:proofErr w:type="spellStart"/>
      <w:r w:rsidRPr="00607317">
        <w:rPr>
          <w:rFonts w:ascii="Sylfaen" w:hAnsi="Sylfaen" w:cs="Times New Roman"/>
          <w:b w:val="0"/>
          <w:sz w:val="22"/>
          <w:szCs w:val="22"/>
          <w:lang w:val="pl-PL"/>
        </w:rPr>
        <w:t>i</w:t>
      </w:r>
      <w:r w:rsidR="00607317" w:rsidRPr="00607317">
        <w:rPr>
          <w:rFonts w:ascii="Sylfaen" w:hAnsi="Sylfaen" w:cs="Times New Roman"/>
          <w:b w:val="0"/>
          <w:sz w:val="22"/>
          <w:szCs w:val="22"/>
          <w:lang w:val="pl-PL"/>
        </w:rPr>
        <w:t>em</w:t>
      </w:r>
      <w:proofErr w:type="spellEnd"/>
      <w:r w:rsidRPr="00607317">
        <w:rPr>
          <w:rFonts w:ascii="Sylfaen" w:hAnsi="Sylfaen" w:cs="Times New Roman"/>
          <w:b w:val="0"/>
          <w:sz w:val="22"/>
          <w:szCs w:val="22"/>
          <w:lang w:val="pl-PL"/>
        </w:rPr>
        <w:t xml:space="preserve"> </w:t>
      </w:r>
      <w:r w:rsidRPr="00607317">
        <w:rPr>
          <w:rFonts w:ascii="Sylfaen" w:hAnsi="Sylfaen" w:cs="Times New Roman"/>
          <w:b w:val="0"/>
          <w:sz w:val="22"/>
          <w:szCs w:val="22"/>
        </w:rPr>
        <w:t xml:space="preserve">do </w:t>
      </w:r>
      <w:r w:rsidRPr="00607317">
        <w:rPr>
          <w:rFonts w:ascii="Sylfaen" w:hAnsi="Sylfaen" w:cs="Times New Roman"/>
          <w:b w:val="0"/>
          <w:sz w:val="22"/>
          <w:szCs w:val="22"/>
          <w:lang w:val="pl-PL"/>
        </w:rPr>
        <w:t>SWZ</w:t>
      </w:r>
      <w:r w:rsidRPr="00607317">
        <w:rPr>
          <w:rFonts w:ascii="Sylfaen" w:hAnsi="Sylfaen" w:cs="Times New Roman"/>
          <w:b w:val="0"/>
          <w:sz w:val="22"/>
          <w:szCs w:val="22"/>
        </w:rPr>
        <w:t xml:space="preserve"> Specjalistyczny Szpital Miejski im. M. Kopernika w Toruniu informuje o</w:t>
      </w:r>
      <w:r w:rsidRPr="00607317">
        <w:rPr>
          <w:rFonts w:ascii="Sylfaen" w:hAnsi="Sylfaen" w:cs="Times New Roman"/>
          <w:b w:val="0"/>
          <w:sz w:val="22"/>
          <w:szCs w:val="22"/>
          <w:lang w:val="pl-PL"/>
        </w:rPr>
        <w:t xml:space="preserve"> </w:t>
      </w:r>
      <w:r w:rsidR="00607317" w:rsidRPr="00607317">
        <w:rPr>
          <w:rFonts w:ascii="Sylfaen" w:hAnsi="Sylfaen" w:cs="Times New Roman"/>
          <w:b w:val="0"/>
          <w:sz w:val="22"/>
          <w:szCs w:val="22"/>
          <w:lang w:val="pl-PL"/>
        </w:rPr>
        <w:t xml:space="preserve">jego </w:t>
      </w:r>
      <w:r w:rsidRPr="00607317">
        <w:rPr>
          <w:rFonts w:ascii="Sylfaen" w:hAnsi="Sylfaen" w:cs="Times New Roman"/>
          <w:b w:val="0"/>
          <w:sz w:val="22"/>
          <w:szCs w:val="22"/>
          <w:lang w:val="pl-PL"/>
        </w:rPr>
        <w:t>treści</w:t>
      </w:r>
      <w:r w:rsidRPr="00607317">
        <w:rPr>
          <w:rFonts w:ascii="Sylfaen" w:hAnsi="Sylfaen" w:cs="Times New Roman"/>
          <w:b w:val="0"/>
          <w:sz w:val="22"/>
          <w:szCs w:val="22"/>
        </w:rPr>
        <w:t xml:space="preserve"> i udzielon</w:t>
      </w:r>
      <w:proofErr w:type="spellStart"/>
      <w:r w:rsidRPr="00607317">
        <w:rPr>
          <w:rFonts w:ascii="Sylfaen" w:hAnsi="Sylfaen" w:cs="Times New Roman"/>
          <w:b w:val="0"/>
          <w:sz w:val="22"/>
          <w:szCs w:val="22"/>
          <w:lang w:val="pl-PL"/>
        </w:rPr>
        <w:t>ych</w:t>
      </w:r>
      <w:proofErr w:type="spellEnd"/>
      <w:r w:rsidRPr="00607317">
        <w:rPr>
          <w:rFonts w:ascii="Sylfaen" w:hAnsi="Sylfaen" w:cs="Times New Roman"/>
          <w:b w:val="0"/>
          <w:sz w:val="22"/>
          <w:szCs w:val="22"/>
        </w:rPr>
        <w:t xml:space="preserve"> na nie odpowiedzi</w:t>
      </w:r>
      <w:r w:rsidR="00607317" w:rsidRPr="00607317">
        <w:rPr>
          <w:rFonts w:ascii="Sylfaen" w:hAnsi="Sylfaen" w:cs="Times New Roman"/>
          <w:b w:val="0"/>
          <w:sz w:val="22"/>
          <w:szCs w:val="22"/>
          <w:lang w:val="pl-PL"/>
        </w:rPr>
        <w:t>.</w:t>
      </w:r>
    </w:p>
    <w:p w14:paraId="200E96E2" w14:textId="77777777" w:rsidR="00806F1D" w:rsidRPr="00607317" w:rsidRDefault="00806F1D" w:rsidP="00806F1D">
      <w:pPr>
        <w:spacing w:after="0" w:line="100" w:lineRule="atLeast"/>
        <w:jc w:val="both"/>
        <w:rPr>
          <w:rFonts w:ascii="Sylfaen" w:hAnsi="Sylfaen" w:cs="Sylfaen"/>
        </w:rPr>
      </w:pPr>
    </w:p>
    <w:p w14:paraId="6EFDE161" w14:textId="77777777" w:rsidR="00607317" w:rsidRPr="00607317" w:rsidRDefault="00607317" w:rsidP="00607317">
      <w:pPr>
        <w:pStyle w:val="Normal1"/>
        <w:spacing w:line="276" w:lineRule="auto"/>
        <w:rPr>
          <w:rFonts w:ascii="Sylfaen" w:hAnsi="Sylfaen" w:cstheme="minorHAnsi"/>
          <w:b/>
          <w:bCs/>
        </w:rPr>
      </w:pPr>
      <w:r w:rsidRPr="00607317">
        <w:rPr>
          <w:rFonts w:ascii="Sylfaen" w:hAnsi="Sylfaen" w:cstheme="minorHAnsi"/>
          <w:b/>
          <w:bCs/>
        </w:rPr>
        <w:t>Pytanie nr 1:</w:t>
      </w:r>
    </w:p>
    <w:p w14:paraId="1CBC40E6" w14:textId="77777777" w:rsidR="00607317" w:rsidRPr="00607317" w:rsidRDefault="00607317" w:rsidP="00607317">
      <w:pPr>
        <w:pStyle w:val="Normal1"/>
        <w:spacing w:line="276" w:lineRule="auto"/>
        <w:rPr>
          <w:rFonts w:ascii="Sylfaen" w:hAnsi="Sylfaen" w:cstheme="minorHAnsi"/>
        </w:rPr>
      </w:pPr>
      <w:r w:rsidRPr="00607317">
        <w:rPr>
          <w:rFonts w:ascii="Sylfaen" w:hAnsi="Sylfaen" w:cstheme="minorHAnsi"/>
        </w:rPr>
        <w:t xml:space="preserve">Zwracam się z prośbą o potwierdzenie, że Zamawiający wymaga dostarczenia tomografu oraz rezonansu wraz z pełnym oprogramowaniem oraz </w:t>
      </w:r>
      <w:r w:rsidRPr="00607317">
        <w:rPr>
          <w:rFonts w:ascii="Sylfaen" w:hAnsi="Sylfaen" w:cstheme="minorHAnsi"/>
          <w:b/>
          <w:bCs/>
        </w:rPr>
        <w:t xml:space="preserve">wszelkimi kodami serwisowymi oraz danymi umożliwiającymi pełne i swobodne serwisowanie urządzeń po wygaśnięciu okresu gwarancyjnego przez podmiot wybrany przez Zamawiającego w konkurencyjnej procedurze. </w:t>
      </w:r>
    </w:p>
    <w:p w14:paraId="7D12785D" w14:textId="77777777" w:rsidR="00607317" w:rsidRPr="00607317" w:rsidRDefault="00607317" w:rsidP="00607317">
      <w:pPr>
        <w:pStyle w:val="Normal1"/>
        <w:spacing w:line="276" w:lineRule="auto"/>
        <w:rPr>
          <w:rFonts w:ascii="Sylfaen" w:hAnsi="Sylfaen" w:cstheme="minorHAnsi"/>
        </w:rPr>
      </w:pPr>
      <w:r w:rsidRPr="00607317">
        <w:rPr>
          <w:rFonts w:ascii="Sylfaen" w:hAnsi="Sylfaen" w:cstheme="minorHAnsi"/>
        </w:rPr>
        <w:t>Wykonawca wskazuje, że tylko takie zapisy SWZ zagwarantują Zamawiającemu nabycie pełnoprawnego urządzenia, którym będzie mógł następnie swobodnie dysponować.</w:t>
      </w:r>
    </w:p>
    <w:p w14:paraId="48A08C8F" w14:textId="77777777" w:rsidR="00607317" w:rsidRPr="00607317" w:rsidRDefault="00607317" w:rsidP="00607317">
      <w:pPr>
        <w:pStyle w:val="Normal1"/>
        <w:spacing w:line="276" w:lineRule="auto"/>
        <w:rPr>
          <w:rFonts w:ascii="Sylfaen" w:hAnsi="Sylfaen" w:cstheme="minorHAnsi"/>
        </w:rPr>
      </w:pPr>
      <w:r w:rsidRPr="00607317">
        <w:rPr>
          <w:rFonts w:ascii="Sylfaen" w:hAnsi="Sylfaen" w:cstheme="minorHAnsi"/>
        </w:rPr>
        <w:t xml:space="preserve">Powyższa okoliczność będzie miała szczególne znaczenie po wygaśnięciu okresu gwarancyjnego. Wówczas, Zamawiający będzie zobowiązany wszcząć postępowanie na obsługę serwisową sprzętu w kolejnych latach. W celu należytego świadczenia tej usługi, wybrany wykonawca będzie musiał uzyskać pełny dostęp do urządzenia. W przypadku więc gdy Zamawiający nie będzie dysponentem niezbędnego oprogramowania oraz </w:t>
      </w:r>
      <w:r w:rsidRPr="00607317">
        <w:rPr>
          <w:rFonts w:ascii="Sylfaen" w:hAnsi="Sylfaen" w:cstheme="minorHAnsi"/>
          <w:b/>
          <w:bCs/>
        </w:rPr>
        <w:t>kodów serwisowych</w:t>
      </w:r>
      <w:r w:rsidRPr="00607317">
        <w:rPr>
          <w:rFonts w:ascii="Sylfaen" w:hAnsi="Sylfaen" w:cstheme="minorHAnsi"/>
        </w:rPr>
        <w:t xml:space="preserve">, na zdecydowanie uprzywilejowanej pozycji znajdzie się dostawca sprzętu wyłoniony w przedmiotowym Postępowaniu. Tylko on bowiem będzie posiadał wszelkie niezbędne oprogramowanie, kody i dostępy serwisowe. To zaś w istocie uniemożliwi przeprowadzenie konkurencyjnego postępowania na pogwarancyjną obsługę serwisową sprzętu – w szczególności, w sytuacji, w której od wykonawców będzie wymagane zawieranie dodatkowo odrębnych umów licencyjnych z producentem sprzętu. </w:t>
      </w:r>
    </w:p>
    <w:p w14:paraId="523D1EB1" w14:textId="77777777" w:rsidR="00607317" w:rsidRPr="00607317" w:rsidRDefault="00607317" w:rsidP="00607317">
      <w:pPr>
        <w:pStyle w:val="Normal1"/>
        <w:spacing w:line="276" w:lineRule="auto"/>
        <w:rPr>
          <w:rFonts w:ascii="Sylfaen" w:hAnsi="Sylfaen" w:cstheme="minorHAnsi"/>
        </w:rPr>
      </w:pPr>
      <w:r w:rsidRPr="00607317">
        <w:rPr>
          <w:rFonts w:ascii="Sylfaen" w:hAnsi="Sylfaen" w:cstheme="minorHAnsi"/>
        </w:rPr>
        <w:t xml:space="preserve">W ocenie Wykonawcy, taką sytuację należałoby uznać za niedopuszczalne uzależnienie się Zamawiającego od podmiotu prywatnego, który dostarczy tomograf oraz rezonans w przedmiotowym Postępowaniu. Należy przy tym wskazać, że problem ten, zwany </w:t>
      </w:r>
      <w:proofErr w:type="spellStart"/>
      <w:r w:rsidRPr="00607317">
        <w:rPr>
          <w:rFonts w:ascii="Sylfaen" w:hAnsi="Sylfaen" w:cstheme="minorHAnsi"/>
          <w:i/>
          <w:iCs/>
        </w:rPr>
        <w:t>vendor</w:t>
      </w:r>
      <w:proofErr w:type="spellEnd"/>
      <w:r w:rsidRPr="00607317">
        <w:rPr>
          <w:rFonts w:ascii="Sylfaen" w:hAnsi="Sylfaen" w:cstheme="minorHAnsi"/>
          <w:i/>
          <w:iCs/>
        </w:rPr>
        <w:t xml:space="preserve"> lock-in</w:t>
      </w:r>
      <w:r w:rsidRPr="00607317">
        <w:rPr>
          <w:rFonts w:ascii="Sylfaen" w:hAnsi="Sylfaen" w:cstheme="minorHAnsi"/>
        </w:rPr>
        <w:t>, nie jest obcy rynkowi zamówień publicznych w Polsce. Wręcz przeciwnie, jego powszechność na rynku usług informatycznych spowodowała wydanie przez Urząd Zamówień Publicznych Rekomendacji dla Zamawiających</w:t>
      </w:r>
      <w:r w:rsidRPr="00607317">
        <w:rPr>
          <w:rStyle w:val="Odwoanieprzypisudolnego"/>
          <w:rFonts w:ascii="Sylfaen" w:hAnsi="Sylfaen" w:cstheme="minorHAnsi"/>
        </w:rPr>
        <w:footnoteReference w:customMarkFollows="1" w:id="1"/>
        <w:t>[1]</w:t>
      </w:r>
      <w:r w:rsidRPr="00607317">
        <w:rPr>
          <w:rFonts w:ascii="Sylfaen" w:hAnsi="Sylfaen" w:cstheme="minorHAnsi"/>
        </w:rPr>
        <w:t>, w której czytamy, że „</w:t>
      </w:r>
      <w:r w:rsidRPr="00607317">
        <w:rPr>
          <w:rFonts w:ascii="Sylfaen" w:hAnsi="Sylfaen" w:cstheme="minorHAnsi"/>
          <w:i/>
          <w:iCs/>
        </w:rPr>
        <w:t xml:space="preserve">przyczyną opisanego tu zjawiska jest powstanie „uzależnienia” zamawiającego od pierwotnego wykonawcy systemu lub producenta </w:t>
      </w:r>
      <w:r w:rsidRPr="00607317">
        <w:rPr>
          <w:rFonts w:ascii="Sylfaen" w:hAnsi="Sylfaen" w:cstheme="minorHAnsi"/>
          <w:i/>
          <w:iCs/>
        </w:rPr>
        <w:lastRenderedPageBreak/>
        <w:t>sprzętu lub oprogramowania gotowego uniemożliwiające nabycie niezbędnych usług lub dostaw w trybach konkurencyjnych. Uzależnienie to jest w dużej mierze konsekwencją niewłaściwego przygotowania postępowania i udzielenia zamówienia publicznego”</w:t>
      </w:r>
      <w:r w:rsidRPr="00607317">
        <w:rPr>
          <w:rFonts w:ascii="Sylfaen" w:hAnsi="Sylfaen" w:cstheme="minorHAnsi"/>
        </w:rPr>
        <w:t>.</w:t>
      </w:r>
    </w:p>
    <w:p w14:paraId="0DCF56DA" w14:textId="77777777" w:rsidR="00607317" w:rsidRPr="00607317" w:rsidRDefault="00607317" w:rsidP="00607317">
      <w:pPr>
        <w:pStyle w:val="Normal1"/>
        <w:spacing w:line="276" w:lineRule="auto"/>
        <w:rPr>
          <w:rFonts w:ascii="Sylfaen" w:hAnsi="Sylfaen" w:cstheme="minorHAnsi"/>
        </w:rPr>
      </w:pPr>
      <w:r w:rsidRPr="00607317">
        <w:rPr>
          <w:rFonts w:ascii="Sylfaen" w:hAnsi="Sylfaen" w:cstheme="minorHAnsi"/>
        </w:rPr>
        <w:t xml:space="preserve">Jako receptę na rozwiązanie tego problemu, </w:t>
      </w:r>
      <w:r w:rsidRPr="00607317">
        <w:rPr>
          <w:rFonts w:ascii="Sylfaen" w:hAnsi="Sylfaen" w:cstheme="minorHAnsi"/>
          <w:b/>
          <w:bCs/>
        </w:rPr>
        <w:t xml:space="preserve">UZP rekomenduje m.in. zobowiązanie wykonawców w umowie do wydania kodów oraz pełnej dokumentacji technicznej systemu (urządzenia), jak również wyczerpujące uregulowanie kwestii ewentualnego przeniesienia na zamawiającego autorskich praw majątkowych do dostarczanego systemu lub praw do licencji (sublicencji) oprogramowania niezbędnych do prawidłowego funkcjonowania systemu (urządzenia). </w:t>
      </w:r>
      <w:r w:rsidRPr="00607317">
        <w:rPr>
          <w:rFonts w:ascii="Sylfaen" w:hAnsi="Sylfaen" w:cstheme="minorHAnsi"/>
        </w:rPr>
        <w:t>Warto przy tym zaznaczyć, że problematyka ta była już poruszana również w orzeczeniach Krajowej Izby Odwoławczej. W wyroku z dnia 12 grudnia 2017 roku, sygn. akt KIO 2506/17, Izba stwierdziła, że: „</w:t>
      </w:r>
      <w:r w:rsidRPr="00607317">
        <w:rPr>
          <w:rFonts w:ascii="Sylfaen" w:hAnsi="Sylfaen" w:cstheme="minorHAnsi"/>
          <w:i/>
          <w:iCs/>
        </w:rPr>
        <w:t xml:space="preserve">nabycie praw autorskich majątkowych do specyfikacji  interfejsów  nie  prowadzi do wyeliminowania konkurencji na rynku właściwym, wręcz przeciwnie stanowi możliwość dla innych podmiotów zaistnienia na tym rynku. </w:t>
      </w:r>
      <w:r w:rsidRPr="00607317">
        <w:rPr>
          <w:rFonts w:ascii="Sylfaen" w:hAnsi="Sylfaen" w:cstheme="minorHAnsi"/>
          <w:i/>
          <w:iCs/>
          <w:u w:val="single"/>
        </w:rPr>
        <w:t>Izba podziela także pogląd Zamawiającego, że niezagwarantowanie sobie korzystania z utworów w określony sposób niewątpliwie może utrudnić udzielenie w przyszłości zamówień innym wykonawcom niż dotychczasowemu</w:t>
      </w:r>
      <w:r w:rsidRPr="00607317">
        <w:rPr>
          <w:rFonts w:ascii="Sylfaen" w:hAnsi="Sylfaen" w:cstheme="minorHAnsi"/>
        </w:rPr>
        <w:t>”.</w:t>
      </w:r>
    </w:p>
    <w:p w14:paraId="6643A7E9" w14:textId="77777777" w:rsidR="00607317" w:rsidRPr="00607317" w:rsidRDefault="00607317" w:rsidP="00607317">
      <w:pPr>
        <w:pStyle w:val="Normal1"/>
        <w:spacing w:line="276" w:lineRule="auto"/>
        <w:rPr>
          <w:rFonts w:ascii="Sylfaen" w:hAnsi="Sylfaen" w:cstheme="minorHAnsi"/>
        </w:rPr>
      </w:pPr>
      <w:r w:rsidRPr="00607317">
        <w:rPr>
          <w:rFonts w:ascii="Sylfaen" w:hAnsi="Sylfaen" w:cstheme="minorHAnsi"/>
        </w:rPr>
        <w:t xml:space="preserve">Jednocześnie, Wykonawca zwraca uwagę, że choć na pierwszy rzut oka może wydawać się, że pozyskanie wraz z tomografem i rezonansem pełnego oprogramowania oraz wszelkich kodów i dostępów serwisowych może rodzić dodatkowe, znaczące koszty po stronie Zamawiającego, to byłoby to nieuprawnione uproszczenie tej kwestii. </w:t>
      </w:r>
    </w:p>
    <w:p w14:paraId="4C8D70C2" w14:textId="77777777" w:rsidR="00607317" w:rsidRPr="00607317" w:rsidRDefault="00607317" w:rsidP="00607317">
      <w:pPr>
        <w:pStyle w:val="Normal1"/>
        <w:spacing w:line="276" w:lineRule="auto"/>
        <w:rPr>
          <w:rFonts w:ascii="Sylfaen" w:hAnsi="Sylfaen" w:cstheme="minorHAnsi"/>
        </w:rPr>
      </w:pPr>
      <w:r w:rsidRPr="00607317">
        <w:rPr>
          <w:rFonts w:ascii="Sylfaen" w:hAnsi="Sylfaen" w:cstheme="minorHAnsi"/>
        </w:rPr>
        <w:t>Należy bowiem zwrócić uwagę, że w sytuacji, w której Zamawiający nie będzie dysponował niezbędnym oprogramowaniem w chwili wygaśnięcia gwarancji, to wszyscy wykonawcy zainteresowani świadczeniem usługi serwisowej tomografu i/lub rezonansu, będą zmuszeni nabyć je od producenta we własnym zakresie. Wydatki te (w szczególności koszt zawarcia odrębnej umowy licencyjnej) znajdą oczywiście odbicie w cenach zaoferowanych przez wykonawców w postępowaniu na świadczenie usług serwisowych, których koszt znacząco wzrośnie.</w:t>
      </w:r>
    </w:p>
    <w:p w14:paraId="692B9785" w14:textId="77777777" w:rsidR="00607317" w:rsidRPr="00607317" w:rsidRDefault="00607317" w:rsidP="00607317">
      <w:pPr>
        <w:pStyle w:val="Normal1"/>
        <w:spacing w:line="276" w:lineRule="auto"/>
        <w:rPr>
          <w:rFonts w:ascii="Sylfaen" w:hAnsi="Sylfaen" w:cstheme="minorHAnsi"/>
        </w:rPr>
      </w:pPr>
      <w:r w:rsidRPr="00607317">
        <w:rPr>
          <w:rFonts w:ascii="Sylfaen" w:hAnsi="Sylfaen" w:cstheme="minorHAnsi"/>
        </w:rPr>
        <w:t>Innymi słowy, wydatki Zamawiającego związane z utrzymaniem tomografu oraz rezonansu w całym cyklu życia urządzenia będą dużo wyższe.</w:t>
      </w:r>
    </w:p>
    <w:p w14:paraId="4860A960" w14:textId="77777777" w:rsidR="00607317" w:rsidRPr="00607317" w:rsidRDefault="00607317" w:rsidP="00607317">
      <w:pPr>
        <w:pStyle w:val="Normal1"/>
        <w:spacing w:line="276" w:lineRule="auto"/>
        <w:rPr>
          <w:rFonts w:ascii="Sylfaen" w:hAnsi="Sylfaen" w:cstheme="minorHAnsi"/>
        </w:rPr>
      </w:pPr>
      <w:r w:rsidRPr="00607317">
        <w:rPr>
          <w:rFonts w:ascii="Sylfaen" w:hAnsi="Sylfaen" w:cstheme="minorHAnsi"/>
        </w:rPr>
        <w:t>W tym kontekście, należy zaś zwrócić uwagę, że Zamawiający, jako dysponent środków publicznych, podlega ustawie o finansach publicznych</w:t>
      </w:r>
      <w:r w:rsidRPr="00607317">
        <w:rPr>
          <w:rStyle w:val="Odwoanieprzypisudolnego"/>
          <w:rFonts w:ascii="Sylfaen" w:hAnsi="Sylfaen" w:cstheme="minorHAnsi"/>
        </w:rPr>
        <w:footnoteReference w:customMarkFollows="1" w:id="2"/>
        <w:t>[2]</w:t>
      </w:r>
      <w:r w:rsidRPr="00607317">
        <w:rPr>
          <w:rFonts w:ascii="Sylfaen" w:hAnsi="Sylfaen" w:cstheme="minorHAnsi"/>
        </w:rPr>
        <w:t>. Zgodnie z art. 44 ust. 3 ustawy, wydatki publiczne powinny być dokonywane w sposób celowy i oszczędny, przy zachowaniu zasad uzyskiwania najlepszych efektów z danych nakładów oraz optymalnego doboru metod i środków służących osiągnięciu założonych celów. Zgodnie zaś z wyrokiem KIO z dnia 3 października 2018 r., sygn. akt KIO 1913/18 dotyczącym właśnie obsługi serwisowej aparatury medycznej, „</w:t>
      </w:r>
      <w:r w:rsidRPr="00607317">
        <w:rPr>
          <w:rFonts w:ascii="Sylfaen" w:hAnsi="Sylfaen" w:cstheme="minorHAnsi"/>
          <w:i/>
          <w:iCs/>
          <w:u w:val="single"/>
        </w:rPr>
        <w:t>możliwość zakupu serwisu pogwarancyjnego po jak najniższej cenie leży niewątpliwie w interesie zamawiającego (i finansów publicznych)”</w:t>
      </w:r>
      <w:r w:rsidRPr="00607317">
        <w:rPr>
          <w:rFonts w:ascii="Sylfaen" w:hAnsi="Sylfaen" w:cstheme="minorHAnsi"/>
        </w:rPr>
        <w:t>.</w:t>
      </w:r>
    </w:p>
    <w:p w14:paraId="3F4E9C78" w14:textId="77777777" w:rsidR="00607317" w:rsidRPr="00607317" w:rsidRDefault="00607317" w:rsidP="00607317">
      <w:pPr>
        <w:pStyle w:val="Normal1"/>
        <w:spacing w:line="276" w:lineRule="auto"/>
        <w:rPr>
          <w:rFonts w:ascii="Sylfaen" w:hAnsi="Sylfaen" w:cstheme="minorHAnsi"/>
        </w:rPr>
      </w:pPr>
      <w:r w:rsidRPr="00607317">
        <w:rPr>
          <w:rFonts w:ascii="Sylfaen" w:hAnsi="Sylfaen" w:cstheme="minorHAnsi"/>
        </w:rPr>
        <w:t xml:space="preserve">Podsumowując, w ocenie Wykonawcy, jedynie nabycie przez Zamawiającego urządzenia wraz z pełnym oprogramowaniem oraz </w:t>
      </w:r>
      <w:r w:rsidRPr="00607317">
        <w:rPr>
          <w:rFonts w:ascii="Sylfaen" w:hAnsi="Sylfaen" w:cstheme="minorHAnsi"/>
          <w:b/>
          <w:bCs/>
        </w:rPr>
        <w:t>wszelkimi kodami i dostępami serwisowymi</w:t>
      </w:r>
      <w:r w:rsidRPr="00607317">
        <w:rPr>
          <w:rFonts w:ascii="Sylfaen" w:hAnsi="Sylfaen" w:cstheme="minorHAnsi"/>
        </w:rPr>
        <w:t>, a następnie dzięki temu przeprowadzenie konkurencyjnej procedury na pogwarancyjny jego serwis, można uznać za wyraz zastosowania wskazanej reguły w praktyce.</w:t>
      </w:r>
    </w:p>
    <w:p w14:paraId="45D58435" w14:textId="77777777" w:rsidR="00607317" w:rsidRPr="00607317" w:rsidRDefault="00607317" w:rsidP="00607317">
      <w:pPr>
        <w:pStyle w:val="Normal1"/>
        <w:spacing w:line="276" w:lineRule="auto"/>
        <w:rPr>
          <w:rFonts w:ascii="Sylfaen" w:hAnsi="Sylfaen" w:cstheme="minorHAnsi"/>
        </w:rPr>
      </w:pPr>
      <w:r w:rsidRPr="00607317">
        <w:rPr>
          <w:rFonts w:ascii="Sylfaen" w:hAnsi="Sylfaen" w:cstheme="minorHAnsi"/>
        </w:rPr>
        <w:lastRenderedPageBreak/>
        <w:t xml:space="preserve">Na marginesie, Wykonawca wskazuje, że dalsze oszczędności dla Zamawiającego może przynieść również m.in. stosowanie części zamiennych innych niż te produkowane przez producenta. Jak bowiem wskazała Krajowa Izba Odwoławcza w wyroku z dnia 10 lutego 2011 roku, sygn. akt KIO 153/11, z przepisów ustawy o wyrobach medycznych </w:t>
      </w:r>
      <w:r w:rsidRPr="00607317">
        <w:rPr>
          <w:rFonts w:ascii="Sylfaen" w:hAnsi="Sylfaen" w:cstheme="minorHAnsi"/>
          <w:u w:val="single"/>
        </w:rPr>
        <w:t>nie wynika utrata certyfikatu zgodności CE dla całego produktu w wypadku użycia części zamiennej innej niż producenta</w:t>
      </w:r>
      <w:r w:rsidRPr="00607317">
        <w:rPr>
          <w:rFonts w:ascii="Sylfaen" w:hAnsi="Sylfaen" w:cstheme="minorHAnsi"/>
        </w:rPr>
        <w:t xml:space="preserve">, zwłaszcza jeśli niniejsza część ma także certyfikat zgodności CE, do tego jest dedykowana dla tomografu lub rezonansu magnetycznego danego producenta.     </w:t>
      </w:r>
    </w:p>
    <w:p w14:paraId="2B3DAC36" w14:textId="77777777" w:rsidR="00607317" w:rsidRPr="00607317" w:rsidRDefault="00607317" w:rsidP="00607317">
      <w:pPr>
        <w:pStyle w:val="Normal1"/>
        <w:rPr>
          <w:rFonts w:ascii="Sylfaen" w:hAnsi="Sylfaen" w:cstheme="minorHAnsi"/>
        </w:rPr>
      </w:pPr>
      <w:r w:rsidRPr="00607317">
        <w:rPr>
          <w:rFonts w:ascii="Sylfaen" w:hAnsi="Sylfaen" w:cstheme="minorHAnsi"/>
        </w:rPr>
        <w:t xml:space="preserve">Uzyskanie informacji w powyższym zakresie ma dla Wykonawcy szczególnie istotne znaczenie – umożliwi mu bowiem złożenie oferty lepiej dostosowanej do potrzeb i wymagań Zamawiającego.  </w:t>
      </w:r>
    </w:p>
    <w:p w14:paraId="78046DFA" w14:textId="77777777" w:rsidR="00607317" w:rsidRPr="00607317" w:rsidRDefault="00607317" w:rsidP="00607317">
      <w:pPr>
        <w:jc w:val="both"/>
        <w:rPr>
          <w:rFonts w:ascii="Sylfaen" w:hAnsi="Sylfaen" w:cstheme="minorHAnsi"/>
        </w:rPr>
      </w:pPr>
    </w:p>
    <w:p w14:paraId="5CFC1245" w14:textId="77777777" w:rsidR="00607317" w:rsidRPr="00607317" w:rsidRDefault="00607317" w:rsidP="00607317">
      <w:pPr>
        <w:spacing w:line="276" w:lineRule="auto"/>
        <w:jc w:val="both"/>
        <w:rPr>
          <w:rFonts w:ascii="Sylfaen" w:eastAsiaTheme="minorHAnsi" w:hAnsi="Sylfaen" w:cstheme="minorHAnsi"/>
        </w:rPr>
      </w:pPr>
      <w:r w:rsidRPr="00607317">
        <w:rPr>
          <w:rFonts w:ascii="Sylfaen" w:hAnsi="Sylfaen" w:cstheme="minorHAnsi"/>
        </w:rPr>
        <w:t>Podsumowując, Zamawiający może wymagać aby aparat oraz wszystkie oferowane urządzenia pozbawione były haseł, kodów, blokad serwisowych, itp., które po upływie gwarancji utrudniałyby właścicielowi dostęp do opcji serwisowych lub naprawę aparatu i urządzeń przez inny niż Wykonawca umowy podmiot, w przypadku nie korzystania przez zamawiającego z serwisu pogwarancyjnego Wykonawcy lub udostępnienie haseł, kodów serwisowych, itp., załączonych najpóźniej w ostatnim dniu gwarancji – dotyczy kompletnego przedmiotu zamówienia.</w:t>
      </w:r>
    </w:p>
    <w:p w14:paraId="6E4ED82C" w14:textId="77777777" w:rsidR="00607317" w:rsidRPr="00607317" w:rsidRDefault="00607317" w:rsidP="00607317">
      <w:pPr>
        <w:spacing w:line="276" w:lineRule="auto"/>
        <w:jc w:val="both"/>
        <w:rPr>
          <w:rFonts w:ascii="Sylfaen" w:hAnsi="Sylfaen" w:cstheme="minorHAnsi"/>
        </w:rPr>
      </w:pPr>
      <w:r w:rsidRPr="00607317">
        <w:rPr>
          <w:rFonts w:ascii="Sylfaen" w:hAnsi="Sylfaen" w:cstheme="minorHAnsi"/>
        </w:rPr>
        <w:t>Poniżej przedstawiamy przykładowy zapis w SWZ, stosowany przez Zamawiających w projektach umowy:</w:t>
      </w:r>
    </w:p>
    <w:p w14:paraId="52755AF1" w14:textId="77777777" w:rsidR="00607317" w:rsidRPr="00607317" w:rsidRDefault="00607317" w:rsidP="00607317">
      <w:pPr>
        <w:spacing w:line="276" w:lineRule="auto"/>
        <w:rPr>
          <w:rFonts w:ascii="Sylfaen" w:hAnsi="Sylfaen" w:cstheme="minorHAnsi"/>
          <w:i/>
          <w:iCs/>
          <w:color w:val="0070C0"/>
        </w:rPr>
      </w:pPr>
      <w:r w:rsidRPr="00607317">
        <w:rPr>
          <w:rFonts w:ascii="Sylfaen" w:hAnsi="Sylfaen" w:cstheme="minorHAnsi"/>
          <w:i/>
          <w:iCs/>
          <w:color w:val="0070C0"/>
        </w:rPr>
        <w:t xml:space="preserve">Sprzedawca bezwzględnie gwarantuje (art. 473 § 1 kodeksu cywilnego) że Sprzęt, o którym mowa w § 1 ust. 1 Umowy, po upływie okresu gwarancji, o którym mowa w § … ust. … jest lub będzie pozbawiony wszelkich blokad itp., w tym w szczególności kodów serwisowych które po upływie gwarancji uniemożliwiałyby lub utrudniałyby Nabywcy dostęp do opcji serwisowych lub naprawę Sprzętu przez inny niż Sprzedawca podmiot w przypadku niekorzystania przez Nabywcę z serwisu pogwarancyjnego Sprzedawcy - na ryzyko Sprzedawcy. Sprzedawca najpóźniej w ostatnim dniu okresu gwarancji udostępni Nabywcy wszelkie kody serwisowe lub odblokuje urządzenie umożliwiając Nabywcy dostęp do opcji serwisowych i naprawę. Powyższe dotyczy również aktualizacji oprogramowania i zmiany kodów serwisowych. </w:t>
      </w:r>
    </w:p>
    <w:p w14:paraId="51F95661" w14:textId="77777777" w:rsidR="00D47448" w:rsidRPr="00607317" w:rsidRDefault="00D47448" w:rsidP="00D47448">
      <w:pPr>
        <w:suppressAutoHyphens w:val="0"/>
        <w:spacing w:after="0" w:line="360" w:lineRule="auto"/>
        <w:jc w:val="both"/>
        <w:rPr>
          <w:rFonts w:ascii="Sylfaen" w:hAnsi="Sylfaen"/>
          <w:kern w:val="2"/>
          <w:lang w:eastAsia="en-US"/>
        </w:rPr>
      </w:pPr>
      <w:r w:rsidRPr="00607317">
        <w:rPr>
          <w:rFonts w:ascii="Sylfaen" w:hAnsi="Sylfaen"/>
          <w:kern w:val="2"/>
          <w:lang w:eastAsia="en-US"/>
        </w:rPr>
        <w:t xml:space="preserve">Pozostałe warunki zgodne z SWZ. </w:t>
      </w:r>
    </w:p>
    <w:p w14:paraId="794E23C8" w14:textId="77777777" w:rsidR="00B62FD9" w:rsidRPr="00607317" w:rsidRDefault="00B62FD9" w:rsidP="00D47448">
      <w:pPr>
        <w:suppressAutoHyphens w:val="0"/>
        <w:spacing w:line="256" w:lineRule="auto"/>
        <w:jc w:val="both"/>
        <w:rPr>
          <w:rFonts w:ascii="Sylfaen" w:hAnsi="Sylfaen"/>
          <w:kern w:val="2"/>
          <w:lang w:eastAsia="en-US"/>
        </w:rPr>
      </w:pPr>
    </w:p>
    <w:p w14:paraId="1FE2CBB0" w14:textId="331FB75F" w:rsidR="00607317" w:rsidRPr="00607317" w:rsidRDefault="00607317" w:rsidP="00607317">
      <w:pPr>
        <w:pStyle w:val="Standard"/>
        <w:jc w:val="both"/>
        <w:rPr>
          <w:rFonts w:ascii="Sylfaen" w:hAnsi="Sylfaen"/>
          <w:color w:val="000000"/>
          <w:sz w:val="22"/>
          <w:szCs w:val="22"/>
          <w:lang w:eastAsia="pl-PL"/>
        </w:rPr>
      </w:pPr>
      <w:r w:rsidRPr="00607317">
        <w:rPr>
          <w:rFonts w:ascii="Sylfaen" w:hAnsi="Sylfaen"/>
          <w:color w:val="000000"/>
          <w:sz w:val="22"/>
          <w:szCs w:val="22"/>
          <w:lang w:eastAsia="pl-PL"/>
        </w:rPr>
        <w:t>Odpowiedź</w:t>
      </w:r>
      <w:r w:rsidRPr="00607317">
        <w:rPr>
          <w:rFonts w:ascii="Sylfaen" w:hAnsi="Sylfaen"/>
          <w:color w:val="000000"/>
          <w:sz w:val="22"/>
          <w:szCs w:val="22"/>
          <w:lang w:eastAsia="pl-PL"/>
        </w:rPr>
        <w:t xml:space="preserve"> na pytanie</w:t>
      </w:r>
      <w:r w:rsidRPr="00607317">
        <w:rPr>
          <w:rFonts w:ascii="Sylfaen" w:hAnsi="Sylfaen"/>
          <w:color w:val="000000"/>
          <w:sz w:val="22"/>
          <w:szCs w:val="22"/>
          <w:lang w:eastAsia="pl-PL"/>
        </w:rPr>
        <w:t>:</w:t>
      </w:r>
    </w:p>
    <w:p w14:paraId="5AACF328" w14:textId="77777777" w:rsidR="00607317" w:rsidRPr="00607317" w:rsidRDefault="00607317" w:rsidP="00607317">
      <w:pPr>
        <w:pStyle w:val="Standard"/>
        <w:jc w:val="both"/>
        <w:rPr>
          <w:rFonts w:ascii="Sylfaen" w:hAnsi="Sylfaen"/>
          <w:color w:val="000000"/>
          <w:sz w:val="22"/>
          <w:szCs w:val="22"/>
        </w:rPr>
      </w:pPr>
      <w:r w:rsidRPr="00607317">
        <w:rPr>
          <w:rFonts w:ascii="Sylfaen" w:hAnsi="Sylfaen"/>
          <w:color w:val="000000"/>
          <w:sz w:val="22"/>
          <w:szCs w:val="22"/>
          <w:lang w:eastAsia="pl-PL"/>
        </w:rPr>
        <w:t>Przedmiotem przetargu jest zakup tomografu komputerowego i rezonansu magnetycznego, a nie pogwarancyjnej usługi serwisowej dla tych urządzeń. Postępowanie dotyczące usługi serwisowej zostanie przeprowadzone po wygaśnięciu okresu gwarancji obu aparatów.</w:t>
      </w:r>
    </w:p>
    <w:p w14:paraId="37F925AA" w14:textId="77777777" w:rsidR="00607317" w:rsidRPr="00607317" w:rsidRDefault="00607317" w:rsidP="00607317">
      <w:pPr>
        <w:pStyle w:val="Standard"/>
        <w:jc w:val="both"/>
        <w:rPr>
          <w:rFonts w:ascii="Sylfaen" w:hAnsi="Sylfaen"/>
          <w:color w:val="000000"/>
          <w:sz w:val="22"/>
          <w:szCs w:val="22"/>
        </w:rPr>
      </w:pPr>
      <w:r w:rsidRPr="00607317">
        <w:rPr>
          <w:rFonts w:ascii="Sylfaen" w:hAnsi="Sylfaen"/>
          <w:color w:val="000000"/>
          <w:sz w:val="22"/>
          <w:szCs w:val="22"/>
          <w:lang w:eastAsia="pl-PL"/>
        </w:rPr>
        <w:t xml:space="preserve">Według najlepszej wiedzy zamawiającego żaden z producentów systemów tomografu komputerowego i rezonansu magnetycznego nie ogranicza dostępu do zdobycia uprawnień serwisowych. Jedynym ograniczeniem stawianym przez producentów jest, aby serwis urządzeń był dokonywany wyłącznie przez osoby posiadające odpowiednie przeszkolenie przez producenta. Kody serwisowe i inne zabezpieczenia informatyczne służą zapewnieniu, by czynności serwisowe (naprawcze, przeglądowe, konserwacyjne, kalibracyjne itd.) były prowadzone wyłącznie przez inżynierów serwisu posiadających aktualną wiedzę, przeszkolenie i doświadczenie w tego rodzaju czynnościach, czyli osoby dające rękojmię bezpiecznego użytkowania urządzenia medycznego </w:t>
      </w:r>
      <w:r w:rsidRPr="00607317">
        <w:rPr>
          <w:rFonts w:ascii="Sylfaen" w:hAnsi="Sylfaen"/>
          <w:color w:val="000000"/>
          <w:sz w:val="22"/>
          <w:szCs w:val="22"/>
          <w:lang w:eastAsia="pl-PL"/>
        </w:rPr>
        <w:lastRenderedPageBreak/>
        <w:t>przez personel i zapewnienie bezpieczeństwa pacjentowi. Producenci oświadczyli, że nie mogą w sensie fizycznym "pozbawić urządzenia kodów serwisowych i innych zabezpieczeń", gdyż oznaczałoby to ingerencję w oprogramowanie wbudowane w urządzenie o trudnych do przewidzenia skutkach.</w:t>
      </w:r>
    </w:p>
    <w:p w14:paraId="6C26C651" w14:textId="77777777" w:rsidR="00607317" w:rsidRPr="00607317" w:rsidRDefault="00607317" w:rsidP="00607317">
      <w:pPr>
        <w:pStyle w:val="Standard"/>
        <w:jc w:val="both"/>
        <w:rPr>
          <w:rFonts w:ascii="Sylfaen" w:hAnsi="Sylfaen"/>
          <w:color w:val="000000"/>
          <w:sz w:val="22"/>
          <w:szCs w:val="22"/>
        </w:rPr>
      </w:pPr>
      <w:r w:rsidRPr="00607317">
        <w:rPr>
          <w:rFonts w:ascii="Sylfaen" w:hAnsi="Sylfaen"/>
          <w:color w:val="000000"/>
          <w:sz w:val="22"/>
          <w:szCs w:val="22"/>
          <w:lang w:eastAsia="pl-PL"/>
        </w:rPr>
        <w:t xml:space="preserve">Wprowadzając wymóg zaoferowania kodów serwisowych Zamawiający godzi się z tym, że pozbawienie kodów serwisowych i innych zabezpieczeń” może wpłynąć na modyfikację oprogramowania w urządzeniu o </w:t>
      </w:r>
      <w:r w:rsidRPr="00607317">
        <w:rPr>
          <w:rFonts w:ascii="Sylfaen" w:hAnsi="Sylfaen"/>
          <w:color w:val="000000"/>
          <w:sz w:val="22"/>
          <w:szCs w:val="22"/>
        </w:rPr>
        <w:t>trudnych do przewidzenia skutkach dla bezpiecznego używania sprzętu medycznego (doświadczalnego), za które producent (wykonawca) nie będzie ponosił odpowiedzialności. Producenci oświadczyli także, że klucze serwisowe często wykraczają poza część użytkową i diagnostyczną systemu, zapewniając dostęp do know-how producenta i z tego powodu nie mogą zostać przekazane, ani ujawnione jako tajemnica przedsiębiorstwa.</w:t>
      </w:r>
    </w:p>
    <w:p w14:paraId="26931048" w14:textId="77777777" w:rsidR="00607317" w:rsidRPr="00607317" w:rsidRDefault="00607317" w:rsidP="00607317">
      <w:pPr>
        <w:pStyle w:val="Standard"/>
        <w:jc w:val="both"/>
        <w:rPr>
          <w:rFonts w:ascii="Sylfaen" w:hAnsi="Sylfaen"/>
          <w:color w:val="000000"/>
          <w:sz w:val="22"/>
          <w:szCs w:val="22"/>
        </w:rPr>
      </w:pPr>
      <w:r w:rsidRPr="00607317">
        <w:rPr>
          <w:rFonts w:ascii="Sylfaen" w:hAnsi="Sylfaen"/>
          <w:color w:val="000000"/>
          <w:sz w:val="22"/>
          <w:szCs w:val="22"/>
          <w:lang w:eastAsia="pl-PL"/>
        </w:rPr>
        <w:t>W ocenie Zamawiającego wprowadzenie wymogu zaoferowania kodów serwisowych utrudni uczciwą konkurencję poprzez uniemożliwienie zaoferowania aparatury niektórych producentów, którzy nie udostępniają licencji kodów serwisowych osobom przez nich nieprzeszkolonym. W przypadku Jednostek Publicznych, zakup usług serwisowych pogwarancyjnych odbywa się na drodze postępowania przetargowego zgodnie z Prawem Zamówień Publicznych. Analiza przeprowadzonych postępowań dostępnych w Internecie wskazuje, że działające na rynku firmy serwisujące sprzęt medyczny, aktywnie biorą udział i wygrywają w postępowaniach przetargowych na serwis pogwarancyjny MRI, CT, RTG, znanych producentów aparatury w ośrodkach, które nie wprowadziły wymogu zaoferowania kluczy wraz z urządzeniem. Z drugiej strony posiadanie licencji na klucze z góry nie gwarantuje, że koszt usługi serwisowej pogwarancyjnej będzie niższy w przyszłości — a to on jest z reguły najważniejszym czynnikiem wpływającym na wybór oferty.</w:t>
      </w:r>
    </w:p>
    <w:p w14:paraId="72E4618F" w14:textId="77777777" w:rsidR="00607317" w:rsidRPr="00607317" w:rsidRDefault="00607317" w:rsidP="00607317">
      <w:pPr>
        <w:pStyle w:val="Standard"/>
        <w:jc w:val="both"/>
        <w:rPr>
          <w:rFonts w:ascii="Sylfaen" w:hAnsi="Sylfaen"/>
          <w:color w:val="000000"/>
          <w:sz w:val="22"/>
          <w:szCs w:val="22"/>
          <w:lang w:eastAsia="pl-PL"/>
        </w:rPr>
      </w:pPr>
      <w:r w:rsidRPr="00607317">
        <w:rPr>
          <w:rFonts w:ascii="Sylfaen" w:hAnsi="Sylfaen"/>
          <w:color w:val="000000"/>
          <w:sz w:val="22"/>
          <w:szCs w:val="22"/>
          <w:lang w:eastAsia="pl-PL"/>
        </w:rPr>
        <w:t>Dowodzi to, że wykonawca, poprzez wprowadzenie sugerowanego wymogu chce przenieść na Zamawiającego koszty licencji kluczy, w tym szkolenia inżynierów swojej firmy. Koszt kodu usługi powinni w przyszłości ponosić usługodawcy. Jeśli nawet usługodawcy zdecydują się przenieść koszty kodów usług na Zamawiającego w ramach ich opłaty za usługę, koszt ten będzie nadal rozłożony w czasie. Daje to Zamawiającemu lepszą kontrolę finansów, poprzez wybór najkorzystniejszej oferty cenowej w oddzielnym postępowaniu na zakup pogwarancyjnych usług serwisowych.</w:t>
      </w:r>
    </w:p>
    <w:p w14:paraId="3E7FAF20" w14:textId="77777777" w:rsidR="00607317" w:rsidRPr="00607317" w:rsidRDefault="00607317" w:rsidP="00607317">
      <w:pPr>
        <w:pStyle w:val="Standard"/>
        <w:jc w:val="both"/>
        <w:rPr>
          <w:rFonts w:ascii="Sylfaen" w:hAnsi="Sylfaen"/>
          <w:color w:val="000000"/>
          <w:sz w:val="22"/>
          <w:szCs w:val="22"/>
        </w:rPr>
      </w:pPr>
      <w:r w:rsidRPr="00607317">
        <w:rPr>
          <w:rFonts w:ascii="Sylfaen" w:hAnsi="Sylfaen"/>
          <w:color w:val="000000"/>
          <w:sz w:val="22"/>
          <w:szCs w:val="22"/>
          <w:lang w:eastAsia="pl-PL"/>
        </w:rPr>
        <w:t>Producenci urządzeń zapewnili nas, że wymóg dostarczenia instrukcji serwisowej urządzeń wchodzących w zakres zamówienia jest bezzasadny, ponieważ niezbędne informacje do prawidłowej eksploatacji urządzenia znajdują się w instrukcji obsługi sprzętu. Natomiast techniczna dokumentacja serwisowa urządzenia rezonansu zawiera treści chronione prawami autorskimi, patentami i innymi prawami własności przemysłowej, przez co stanowi tajemnicę przedsiębiorstwa, i z tych względów nie podlega ujawnieniu Zamawiającemu. Dokumentacja ta jest dostępna jedynie dla uprawnionych inżynierów serwisu, posiadających odpowiednie przeszkolenie i przygotowanie do korzystania z zawartych w niej danych. Producenci oświadczyli, że przekazanie serwisowej dokumentacji technicznej nie jest niezbędne do wykonywania usług serwisu.</w:t>
      </w:r>
    </w:p>
    <w:p w14:paraId="436E21FC" w14:textId="77777777" w:rsidR="00607317" w:rsidRPr="00607317" w:rsidRDefault="00607317" w:rsidP="00607317">
      <w:pPr>
        <w:pStyle w:val="Standard"/>
        <w:jc w:val="both"/>
        <w:rPr>
          <w:rFonts w:ascii="Sylfaen" w:hAnsi="Sylfaen"/>
          <w:color w:val="000000"/>
          <w:sz w:val="22"/>
          <w:szCs w:val="22"/>
          <w:lang w:eastAsia="pl-PL"/>
        </w:rPr>
      </w:pPr>
      <w:r w:rsidRPr="00607317">
        <w:rPr>
          <w:rFonts w:ascii="Sylfaen" w:hAnsi="Sylfaen"/>
          <w:color w:val="000000"/>
          <w:sz w:val="22"/>
          <w:szCs w:val="22"/>
          <w:lang w:eastAsia="pl-PL"/>
        </w:rPr>
        <w:t>W tej sytuacji zamawiający nie może zgodzić się, aby w momencie zakupu aparatu na niego zostały przerzucone wszelkie koszty dotyczące licencji, kluczy serwisowych lub/i likwidacji wszelkich zabezpieczeń urządzenia lub szkoleń inżynierów serwisantów.</w:t>
      </w:r>
    </w:p>
    <w:p w14:paraId="1EAE599C" w14:textId="77777777" w:rsidR="00D24399" w:rsidRPr="00607317" w:rsidRDefault="00D24399" w:rsidP="00D47448">
      <w:pPr>
        <w:suppressAutoHyphens w:val="0"/>
        <w:spacing w:line="256" w:lineRule="auto"/>
        <w:jc w:val="both"/>
        <w:rPr>
          <w:rFonts w:ascii="Sylfaen" w:hAnsi="Sylfaen"/>
          <w:kern w:val="2"/>
          <w:lang w:eastAsia="en-US"/>
        </w:rPr>
      </w:pPr>
    </w:p>
    <w:p w14:paraId="03780E8E" w14:textId="3042B7C3" w:rsidR="00607317" w:rsidRPr="00607317" w:rsidRDefault="00607317" w:rsidP="002006A6">
      <w:pPr>
        <w:pStyle w:val="Nagwek1"/>
        <w:spacing w:before="0" w:after="0"/>
        <w:ind w:firstLine="708"/>
        <w:jc w:val="both"/>
        <w:rPr>
          <w:rFonts w:ascii="Sylfaen" w:hAnsi="Sylfaen" w:cs="Times New Roman"/>
          <w:b w:val="0"/>
          <w:sz w:val="22"/>
          <w:szCs w:val="22"/>
          <w:lang w:val="pl-PL"/>
        </w:rPr>
      </w:pPr>
      <w:r w:rsidRPr="00607317">
        <w:rPr>
          <w:rFonts w:ascii="Sylfaen" w:hAnsi="Sylfaen" w:cs="Times New Roman"/>
          <w:b w:val="0"/>
          <w:sz w:val="22"/>
          <w:szCs w:val="22"/>
        </w:rPr>
        <w:t>W związku ze skierowanym</w:t>
      </w:r>
      <w:r w:rsidRPr="00607317">
        <w:rPr>
          <w:rFonts w:ascii="Sylfaen" w:hAnsi="Sylfaen" w:cs="Times New Roman"/>
          <w:b w:val="0"/>
          <w:sz w:val="22"/>
          <w:szCs w:val="22"/>
          <w:lang w:val="pl-PL"/>
        </w:rPr>
        <w:t>i</w:t>
      </w:r>
      <w:r w:rsidRPr="00607317">
        <w:rPr>
          <w:rFonts w:ascii="Sylfaen" w:hAnsi="Sylfaen" w:cs="Times New Roman"/>
          <w:b w:val="0"/>
          <w:sz w:val="22"/>
          <w:szCs w:val="22"/>
        </w:rPr>
        <w:t xml:space="preserve"> przez Wykonawcę w dniu </w:t>
      </w:r>
      <w:r w:rsidR="00B13B47">
        <w:rPr>
          <w:rFonts w:ascii="Sylfaen" w:hAnsi="Sylfaen" w:cs="Times New Roman"/>
          <w:b w:val="0"/>
          <w:sz w:val="22"/>
          <w:szCs w:val="22"/>
        </w:rPr>
        <w:t>05</w:t>
      </w:r>
      <w:r w:rsidRPr="00607317">
        <w:rPr>
          <w:rFonts w:ascii="Sylfaen" w:hAnsi="Sylfaen" w:cs="Times New Roman"/>
          <w:b w:val="0"/>
          <w:sz w:val="22"/>
          <w:szCs w:val="22"/>
          <w:lang w:val="pl-PL"/>
        </w:rPr>
        <w:t>.06.</w:t>
      </w:r>
      <w:r w:rsidRPr="00607317">
        <w:rPr>
          <w:rFonts w:ascii="Sylfaen" w:hAnsi="Sylfaen" w:cs="Times New Roman"/>
          <w:b w:val="0"/>
          <w:sz w:val="22"/>
          <w:szCs w:val="22"/>
        </w:rPr>
        <w:t>202</w:t>
      </w:r>
      <w:r w:rsidRPr="00607317">
        <w:rPr>
          <w:rFonts w:ascii="Sylfaen" w:hAnsi="Sylfaen" w:cs="Times New Roman"/>
          <w:b w:val="0"/>
          <w:sz w:val="22"/>
          <w:szCs w:val="22"/>
          <w:lang w:val="pl-PL"/>
        </w:rPr>
        <w:t>4</w:t>
      </w:r>
      <w:r w:rsidRPr="00607317">
        <w:rPr>
          <w:rFonts w:ascii="Sylfaen" w:hAnsi="Sylfaen" w:cs="Times New Roman"/>
          <w:b w:val="0"/>
          <w:sz w:val="22"/>
          <w:szCs w:val="22"/>
        </w:rPr>
        <w:t xml:space="preserve"> r. pytan</w:t>
      </w:r>
      <w:r w:rsidRPr="00607317">
        <w:rPr>
          <w:rFonts w:ascii="Sylfaen" w:hAnsi="Sylfaen" w:cs="Times New Roman"/>
          <w:b w:val="0"/>
          <w:sz w:val="22"/>
          <w:szCs w:val="22"/>
          <w:lang w:val="pl-PL"/>
        </w:rPr>
        <w:t xml:space="preserve">iami </w:t>
      </w:r>
      <w:r w:rsidRPr="00607317">
        <w:rPr>
          <w:rFonts w:ascii="Sylfaen" w:hAnsi="Sylfaen" w:cs="Times New Roman"/>
          <w:b w:val="0"/>
          <w:sz w:val="22"/>
          <w:szCs w:val="22"/>
        </w:rPr>
        <w:t xml:space="preserve">do </w:t>
      </w:r>
      <w:r w:rsidRPr="00607317">
        <w:rPr>
          <w:rFonts w:ascii="Sylfaen" w:hAnsi="Sylfaen" w:cs="Times New Roman"/>
          <w:b w:val="0"/>
          <w:sz w:val="22"/>
          <w:szCs w:val="22"/>
          <w:lang w:val="pl-PL"/>
        </w:rPr>
        <w:t>SWZ</w:t>
      </w:r>
      <w:r w:rsidRPr="00607317">
        <w:rPr>
          <w:rFonts w:ascii="Sylfaen" w:hAnsi="Sylfaen" w:cs="Times New Roman"/>
          <w:b w:val="0"/>
          <w:sz w:val="22"/>
          <w:szCs w:val="22"/>
        </w:rPr>
        <w:t xml:space="preserve"> Specjalistyczny Szpital Miejski im. M. Kopernika w Toruniu informuje o</w:t>
      </w:r>
      <w:r w:rsidRPr="00607317">
        <w:rPr>
          <w:rFonts w:ascii="Sylfaen" w:hAnsi="Sylfaen" w:cs="Times New Roman"/>
          <w:b w:val="0"/>
          <w:sz w:val="22"/>
          <w:szCs w:val="22"/>
          <w:lang w:val="pl-PL"/>
        </w:rPr>
        <w:t xml:space="preserve"> ich treści</w:t>
      </w:r>
      <w:r w:rsidRPr="00607317">
        <w:rPr>
          <w:rFonts w:ascii="Sylfaen" w:hAnsi="Sylfaen" w:cs="Times New Roman"/>
          <w:b w:val="0"/>
          <w:sz w:val="22"/>
          <w:szCs w:val="22"/>
        </w:rPr>
        <w:t xml:space="preserve"> i udzielon</w:t>
      </w:r>
      <w:r w:rsidRPr="00607317">
        <w:rPr>
          <w:rFonts w:ascii="Sylfaen" w:hAnsi="Sylfaen" w:cs="Times New Roman"/>
          <w:b w:val="0"/>
          <w:sz w:val="22"/>
          <w:szCs w:val="22"/>
          <w:lang w:val="pl-PL"/>
        </w:rPr>
        <w:t>ych</w:t>
      </w:r>
      <w:r w:rsidRPr="00607317">
        <w:rPr>
          <w:rFonts w:ascii="Sylfaen" w:hAnsi="Sylfaen" w:cs="Times New Roman"/>
          <w:b w:val="0"/>
          <w:sz w:val="22"/>
          <w:szCs w:val="22"/>
        </w:rPr>
        <w:t xml:space="preserve"> na nie odpowiedzi</w:t>
      </w:r>
      <w:r w:rsidRPr="00607317">
        <w:rPr>
          <w:rFonts w:ascii="Sylfaen" w:hAnsi="Sylfaen" w:cs="Times New Roman"/>
          <w:b w:val="0"/>
          <w:sz w:val="22"/>
          <w:szCs w:val="22"/>
          <w:lang w:val="pl-PL"/>
        </w:rPr>
        <w:t>ach.</w:t>
      </w:r>
    </w:p>
    <w:p w14:paraId="337A4545" w14:textId="77777777" w:rsidR="00607317" w:rsidRPr="00607317" w:rsidRDefault="00607317" w:rsidP="002006A6">
      <w:pPr>
        <w:suppressAutoHyphens w:val="0"/>
        <w:autoSpaceDE w:val="0"/>
        <w:autoSpaceDN w:val="0"/>
        <w:adjustRightInd w:val="0"/>
        <w:spacing w:after="0" w:line="240" w:lineRule="auto"/>
        <w:jc w:val="both"/>
        <w:rPr>
          <w:rFonts w:ascii="Sylfaen" w:eastAsiaTheme="minorHAnsi" w:hAnsi="Sylfaen" w:cs="Aptos"/>
          <w:color w:val="000000"/>
          <w:kern w:val="0"/>
          <w:sz w:val="24"/>
          <w:szCs w:val="24"/>
          <w:lang w:eastAsia="en-US"/>
        </w:rPr>
      </w:pPr>
    </w:p>
    <w:p w14:paraId="41A41537" w14:textId="6B3AB423" w:rsidR="00607317" w:rsidRPr="00607317" w:rsidRDefault="00607317" w:rsidP="002006A6">
      <w:pPr>
        <w:widowControl w:val="0"/>
        <w:tabs>
          <w:tab w:val="left" w:pos="844"/>
        </w:tabs>
        <w:autoSpaceDN w:val="0"/>
        <w:spacing w:after="0" w:line="312" w:lineRule="auto"/>
        <w:ind w:right="920"/>
        <w:jc w:val="both"/>
        <w:rPr>
          <w:rFonts w:ascii="Sylfaen" w:eastAsia="Arial" w:hAnsi="Sylfaen"/>
          <w:color w:val="000000"/>
        </w:rPr>
      </w:pPr>
      <w:r w:rsidRPr="00607317">
        <w:rPr>
          <w:rFonts w:ascii="Sylfaen" w:eastAsia="Arial" w:hAnsi="Sylfaen"/>
          <w:color w:val="000000"/>
        </w:rPr>
        <w:t>1.</w:t>
      </w:r>
      <w:r w:rsidRPr="00607317">
        <w:rPr>
          <w:rFonts w:ascii="Sylfaen" w:eastAsia="Arial" w:hAnsi="Sylfaen"/>
          <w:color w:val="000000"/>
        </w:rPr>
        <w:t>Czy możemy otrzymać aktualny przekrój przewodu zasilającego obecnego</w:t>
      </w:r>
      <w:r w:rsidRPr="00607317">
        <w:rPr>
          <w:rFonts w:ascii="Sylfaen" w:eastAsia="Arial" w:hAnsi="Sylfaen"/>
          <w:color w:val="000000"/>
        </w:rPr>
        <w:t xml:space="preserve"> </w:t>
      </w:r>
      <w:r w:rsidRPr="00607317">
        <w:rPr>
          <w:rFonts w:ascii="Sylfaen" w:eastAsia="Arial" w:hAnsi="Sylfaen"/>
          <w:color w:val="000000"/>
        </w:rPr>
        <w:t>urządzenia</w:t>
      </w:r>
      <w:r>
        <w:rPr>
          <w:rFonts w:ascii="Sylfaen" w:eastAsia="Arial" w:hAnsi="Sylfaen"/>
          <w:color w:val="000000"/>
        </w:rPr>
        <w:t xml:space="preserve"> </w:t>
      </w:r>
      <w:r w:rsidRPr="00607317">
        <w:rPr>
          <w:rFonts w:ascii="Sylfaen" w:eastAsia="Arial" w:hAnsi="Sylfaen"/>
          <w:color w:val="000000"/>
        </w:rPr>
        <w:t xml:space="preserve">rezonansu i zabezpieczenia celem dopasowania do nowego urządzenia?  </w:t>
      </w:r>
    </w:p>
    <w:p w14:paraId="55D23CFD" w14:textId="019B65FC" w:rsidR="00607317" w:rsidRPr="00607317" w:rsidRDefault="00607317" w:rsidP="002006A6">
      <w:pPr>
        <w:widowControl w:val="0"/>
        <w:tabs>
          <w:tab w:val="left" w:pos="844"/>
        </w:tabs>
        <w:autoSpaceDN w:val="0"/>
        <w:spacing w:after="0" w:line="312" w:lineRule="auto"/>
        <w:jc w:val="both"/>
        <w:rPr>
          <w:rFonts w:ascii="Sylfaen" w:eastAsia="SimSun" w:hAnsi="Sylfaen"/>
          <w:color w:val="000000"/>
          <w:kern w:val="3"/>
          <w:lang w:eastAsia="zh-CN"/>
        </w:rPr>
      </w:pPr>
      <w:r w:rsidRPr="00607317">
        <w:rPr>
          <w:rFonts w:ascii="Sylfaen" w:eastAsia="Arial" w:hAnsi="Sylfaen"/>
          <w:color w:val="000000"/>
        </w:rPr>
        <w:lastRenderedPageBreak/>
        <w:t>Odpowiedź: Zamawiający nie jest w posiadaniu takiej informacji,</w:t>
      </w:r>
      <w:r w:rsidRPr="00607317">
        <w:rPr>
          <w:rFonts w:ascii="Sylfaen" w:eastAsia="Arial" w:hAnsi="Sylfaen"/>
          <w:color w:val="000000"/>
        </w:rPr>
        <w:t xml:space="preserve"> </w:t>
      </w:r>
      <w:r w:rsidRPr="00607317">
        <w:rPr>
          <w:rFonts w:ascii="Sylfaen" w:eastAsia="Arial" w:hAnsi="Sylfaen"/>
          <w:color w:val="000000"/>
        </w:rPr>
        <w:t>ponieważ nie jest właścicielem rezonansu magnetycznego. Wszelkie koszty związane z dopasowaniem/wykonaniem przyłącza spełniającego wymogi oferowanego aparatu po stronie wykonawcy.</w:t>
      </w:r>
    </w:p>
    <w:p w14:paraId="7D7AA8B2" w14:textId="77777777" w:rsidR="00607317" w:rsidRPr="00607317" w:rsidRDefault="00607317" w:rsidP="00607317">
      <w:pPr>
        <w:pStyle w:val="Standard"/>
        <w:spacing w:line="103" w:lineRule="exact"/>
        <w:jc w:val="both"/>
        <w:rPr>
          <w:rFonts w:ascii="Sylfaen" w:eastAsia="Arial" w:hAnsi="Sylfaen"/>
          <w:color w:val="000000"/>
          <w:sz w:val="22"/>
          <w:szCs w:val="22"/>
        </w:rPr>
      </w:pPr>
    </w:p>
    <w:p w14:paraId="65A6BF5B" w14:textId="15B63751" w:rsidR="00607317" w:rsidRPr="00607317" w:rsidRDefault="00607317" w:rsidP="00607317">
      <w:pPr>
        <w:widowControl w:val="0"/>
        <w:tabs>
          <w:tab w:val="left" w:pos="844"/>
        </w:tabs>
        <w:autoSpaceDN w:val="0"/>
        <w:spacing w:after="0" w:line="292" w:lineRule="auto"/>
        <w:jc w:val="both"/>
        <w:rPr>
          <w:rFonts w:ascii="Sylfaen" w:eastAsia="Arial" w:hAnsi="Sylfaen"/>
          <w:color w:val="000000"/>
        </w:rPr>
      </w:pPr>
      <w:r w:rsidRPr="00607317">
        <w:rPr>
          <w:rFonts w:ascii="Sylfaen" w:eastAsia="Arial" w:hAnsi="Sylfaen"/>
          <w:color w:val="000000"/>
        </w:rPr>
        <w:t>2.</w:t>
      </w:r>
      <w:r w:rsidRPr="00607317">
        <w:rPr>
          <w:rFonts w:ascii="Sylfaen" w:eastAsia="Arial" w:hAnsi="Sylfaen"/>
          <w:color w:val="000000"/>
        </w:rPr>
        <w:t xml:space="preserve">Czy zlokalizowana w obecnych pomieszczeniach rezonansu izolacja przeciwpożarowa podlega wymianie na nową, czy należy ją wyłącznie zdemontować na czas remontu? Proszę również o informację, czy obecnie zainstalowane czujki dymu zostaną zdemontowane przez obsługę obiektu?  </w:t>
      </w:r>
    </w:p>
    <w:p w14:paraId="4907E84A" w14:textId="77777777" w:rsidR="00607317" w:rsidRPr="00607317" w:rsidRDefault="00607317" w:rsidP="00607317">
      <w:pPr>
        <w:tabs>
          <w:tab w:val="left" w:pos="844"/>
        </w:tabs>
        <w:spacing w:line="292" w:lineRule="auto"/>
        <w:jc w:val="both"/>
        <w:rPr>
          <w:rFonts w:ascii="Sylfaen" w:eastAsia="Arial" w:hAnsi="Sylfaen"/>
          <w:color w:val="000000"/>
        </w:rPr>
      </w:pPr>
      <w:r w:rsidRPr="00607317">
        <w:rPr>
          <w:rFonts w:ascii="Sylfaen" w:eastAsia="Arial" w:hAnsi="Sylfaen"/>
          <w:color w:val="000000"/>
        </w:rPr>
        <w:t>Odpowiedź: TAK. Jest konieczność odtworzenia w stanie niepogorszonym. Nie istnieje pojęcie „izolacji przeciwpożarowej”. Proszę  o ewentualne doprecyzowanie. Tym samym zachodzi konieczność wymiany ich na nowe. Na czas prowadzonych prac czujki muszą zostać zabezpieczone przez Wykonawcę zadania.</w:t>
      </w:r>
    </w:p>
    <w:p w14:paraId="4F673DBE" w14:textId="77777777" w:rsidR="00607317" w:rsidRPr="00607317" w:rsidRDefault="00607317" w:rsidP="00607317">
      <w:pPr>
        <w:pStyle w:val="Standard"/>
        <w:tabs>
          <w:tab w:val="left" w:pos="128"/>
        </w:tabs>
        <w:spacing w:line="276" w:lineRule="auto"/>
        <w:ind w:left="4" w:right="60"/>
        <w:jc w:val="both"/>
        <w:rPr>
          <w:rFonts w:ascii="Sylfaen" w:eastAsia="Arial" w:hAnsi="Sylfaen"/>
          <w:color w:val="000000"/>
          <w:sz w:val="22"/>
          <w:szCs w:val="22"/>
        </w:rPr>
      </w:pPr>
    </w:p>
    <w:p w14:paraId="46B87A37" w14:textId="77777777" w:rsidR="00607317" w:rsidRPr="00607317" w:rsidRDefault="00607317" w:rsidP="00607317">
      <w:pPr>
        <w:pStyle w:val="Standard"/>
        <w:spacing w:line="144" w:lineRule="exact"/>
        <w:jc w:val="both"/>
        <w:rPr>
          <w:rFonts w:ascii="Sylfaen" w:eastAsia="Arial" w:hAnsi="Sylfaen"/>
          <w:color w:val="000000"/>
          <w:sz w:val="22"/>
          <w:szCs w:val="22"/>
        </w:rPr>
      </w:pPr>
    </w:p>
    <w:p w14:paraId="2E3561CE" w14:textId="580EC72D" w:rsidR="00607317" w:rsidRPr="00607317" w:rsidRDefault="00607317" w:rsidP="00607317">
      <w:pPr>
        <w:widowControl w:val="0"/>
        <w:tabs>
          <w:tab w:val="left" w:pos="844"/>
        </w:tabs>
        <w:autoSpaceDN w:val="0"/>
        <w:spacing w:after="0" w:line="290" w:lineRule="auto"/>
        <w:ind w:right="140"/>
        <w:jc w:val="both"/>
        <w:rPr>
          <w:rFonts w:ascii="Sylfaen" w:eastAsia="SimSun" w:hAnsi="Sylfaen"/>
          <w:color w:val="000000"/>
        </w:rPr>
      </w:pPr>
      <w:r w:rsidRPr="00607317">
        <w:rPr>
          <w:rFonts w:ascii="Sylfaen" w:eastAsia="Arial" w:hAnsi="Sylfaen"/>
          <w:color w:val="000000"/>
        </w:rPr>
        <w:t>3.</w:t>
      </w:r>
      <w:r w:rsidRPr="00607317">
        <w:rPr>
          <w:rFonts w:ascii="Sylfaen" w:eastAsia="Arial" w:hAnsi="Sylfaen"/>
          <w:color w:val="000000"/>
        </w:rPr>
        <w:t>Proszę o zaproponowanie trasy poprowadzenia zasilania oraz komunikacji LAN dla pomieszczeń przewidzianych dla tomografu komputerowego (obecnych pomieszczeń kapliczki oraz pomieszczenia przyległego). Proszę o określenie sposobu montażu tych kabli. Czy mają zostać zamontowane podtynkowo/ poprzez zabudowę GK/ na drabinkach kablowych czy zamaskowane w korytach plastikowych? Czy konieczne będzie stosowanie wykopów, rozbiórka kostki i ewentualne odtworzenie jej celem doprowadzenie WLZ do istniejącej stacji obiektu?</w:t>
      </w:r>
    </w:p>
    <w:p w14:paraId="50F5DCCC" w14:textId="77777777" w:rsidR="00607317" w:rsidRPr="00607317" w:rsidRDefault="00607317" w:rsidP="00607317">
      <w:pPr>
        <w:tabs>
          <w:tab w:val="left" w:pos="844"/>
        </w:tabs>
        <w:spacing w:line="290" w:lineRule="auto"/>
        <w:ind w:right="140"/>
        <w:jc w:val="both"/>
        <w:rPr>
          <w:rFonts w:ascii="Sylfaen" w:hAnsi="Sylfaen"/>
          <w:color w:val="000000"/>
        </w:rPr>
      </w:pPr>
      <w:r w:rsidRPr="00607317">
        <w:rPr>
          <w:rFonts w:ascii="Sylfaen" w:eastAsia="Arial" w:hAnsi="Sylfaen"/>
          <w:color w:val="000000"/>
        </w:rPr>
        <w:t>Odpowiedź: prowadzenie zasilania – trasa od rozdzielni B – w budynku głównym – prowadzenie w drabinkach metalowych w pomieszczeniach piwnicznych; bez konieczności prowadzenia wykopów itp.; Wyjście z pomieszczeń piwnicy poprzez patio przylegające bezpośrednio do adaptowanego pomieszczenia.</w:t>
      </w:r>
    </w:p>
    <w:p w14:paraId="03246A76" w14:textId="77777777" w:rsidR="00607317" w:rsidRPr="00607317" w:rsidRDefault="00607317" w:rsidP="00607317">
      <w:pPr>
        <w:pStyle w:val="Standard"/>
        <w:spacing w:line="129" w:lineRule="exact"/>
        <w:jc w:val="both"/>
        <w:rPr>
          <w:rFonts w:ascii="Sylfaen" w:eastAsia="Arial" w:hAnsi="Sylfaen"/>
          <w:color w:val="000000"/>
          <w:sz w:val="22"/>
          <w:szCs w:val="22"/>
        </w:rPr>
      </w:pPr>
    </w:p>
    <w:p w14:paraId="2714D702" w14:textId="3CE1221B" w:rsidR="00607317" w:rsidRPr="00607317" w:rsidRDefault="00607317" w:rsidP="00607317">
      <w:pPr>
        <w:pStyle w:val="Standard"/>
        <w:tabs>
          <w:tab w:val="left" w:pos="124"/>
        </w:tabs>
        <w:spacing w:line="292" w:lineRule="auto"/>
        <w:jc w:val="both"/>
        <w:rPr>
          <w:rFonts w:ascii="Sylfaen" w:eastAsia="Arial" w:hAnsi="Sylfaen"/>
          <w:color w:val="000000"/>
          <w:sz w:val="22"/>
          <w:szCs w:val="22"/>
        </w:rPr>
      </w:pPr>
      <w:r w:rsidRPr="00607317">
        <w:rPr>
          <w:rFonts w:ascii="Sylfaen" w:eastAsia="Arial" w:hAnsi="Sylfaen"/>
          <w:color w:val="000000"/>
          <w:sz w:val="22"/>
          <w:szCs w:val="22"/>
        </w:rPr>
        <w:t>4.</w:t>
      </w:r>
      <w:r w:rsidRPr="00607317">
        <w:rPr>
          <w:rFonts w:ascii="Sylfaen" w:eastAsia="Arial" w:hAnsi="Sylfaen"/>
          <w:color w:val="000000"/>
          <w:sz w:val="22"/>
          <w:szCs w:val="22"/>
        </w:rPr>
        <w:t>Biorąc pod uwagę fakt, że pomieszczenia projektowane według PFU, mają zostać przystosowane do przepisów przeciwpożarowych, proszę o odpowiedź, czy obecna centrala przeciwpożarowa przewiduje wpięcie dodatkowych czujek dymu? Proszę też o przedstawienie jej obecnej lokalizacji wraz z proponowaną trasą do remontowanych pomieszczeń.</w:t>
      </w:r>
    </w:p>
    <w:p w14:paraId="65892CA9" w14:textId="52839C38" w:rsidR="00607317" w:rsidRPr="00607317" w:rsidRDefault="00607317" w:rsidP="00607317">
      <w:pPr>
        <w:pStyle w:val="Standard"/>
        <w:tabs>
          <w:tab w:val="left" w:pos="124"/>
        </w:tabs>
        <w:spacing w:line="292" w:lineRule="auto"/>
        <w:jc w:val="both"/>
        <w:rPr>
          <w:rFonts w:ascii="Sylfaen" w:eastAsia="Arial" w:hAnsi="Sylfaen"/>
          <w:color w:val="000000"/>
          <w:sz w:val="22"/>
          <w:szCs w:val="22"/>
        </w:rPr>
      </w:pPr>
      <w:r w:rsidRPr="00607317">
        <w:rPr>
          <w:rFonts w:ascii="Sylfaen" w:eastAsia="Arial" w:hAnsi="Sylfaen"/>
          <w:color w:val="000000"/>
          <w:sz w:val="22"/>
          <w:szCs w:val="22"/>
        </w:rPr>
        <w:t xml:space="preserve">Odpowiedź: Tak przewiduje.  Jest zlokalizowana w </w:t>
      </w:r>
      <w:r w:rsidRPr="00607317">
        <w:rPr>
          <w:rFonts w:ascii="Sylfaen" w:eastAsia="Arial" w:hAnsi="Sylfaen"/>
          <w:color w:val="000000"/>
          <w:sz w:val="22"/>
          <w:szCs w:val="22"/>
        </w:rPr>
        <w:t>portierni</w:t>
      </w:r>
      <w:r w:rsidRPr="00607317">
        <w:rPr>
          <w:rFonts w:ascii="Sylfaen" w:eastAsia="Arial" w:hAnsi="Sylfaen"/>
          <w:color w:val="000000"/>
          <w:sz w:val="22"/>
          <w:szCs w:val="22"/>
        </w:rPr>
        <w:t xml:space="preserve">  budynku D. Jest  to centrala Polon 4900. Zachodzi konieczność wymiany istniejących elementów instalacji  dozorowych na nowe. Składają się z 11 czujek, 11 gniazd, 2 sygnalizatorów dźwięków (1 w pom RM oraz 1 w pom TK) oraz 200 </w:t>
      </w:r>
      <w:proofErr w:type="spellStart"/>
      <w:r w:rsidRPr="00607317">
        <w:rPr>
          <w:rFonts w:ascii="Sylfaen" w:eastAsia="Arial" w:hAnsi="Sylfaen"/>
          <w:color w:val="000000"/>
          <w:sz w:val="22"/>
          <w:szCs w:val="22"/>
        </w:rPr>
        <w:t>mb</w:t>
      </w:r>
      <w:proofErr w:type="spellEnd"/>
      <w:r w:rsidRPr="00607317">
        <w:rPr>
          <w:rFonts w:ascii="Sylfaen" w:eastAsia="Arial" w:hAnsi="Sylfaen"/>
          <w:color w:val="000000"/>
          <w:sz w:val="22"/>
          <w:szCs w:val="22"/>
        </w:rPr>
        <w:t xml:space="preserve"> przewodu ekranowanego (</w:t>
      </w:r>
      <w:proofErr w:type="spellStart"/>
      <w:r w:rsidRPr="00607317">
        <w:rPr>
          <w:rFonts w:ascii="Sylfaen" w:eastAsia="Arial" w:hAnsi="Sylfaen"/>
          <w:color w:val="000000"/>
          <w:sz w:val="22"/>
          <w:szCs w:val="22"/>
        </w:rPr>
        <w:t>Yntksy</w:t>
      </w:r>
      <w:proofErr w:type="spellEnd"/>
      <w:r w:rsidRPr="00607317">
        <w:rPr>
          <w:rFonts w:ascii="Sylfaen" w:eastAsia="Arial" w:hAnsi="Sylfaen"/>
          <w:color w:val="000000"/>
          <w:sz w:val="22"/>
          <w:szCs w:val="22"/>
        </w:rPr>
        <w:t xml:space="preserve"> 2x0,8) celem wpięcia do centrali Polon 4900.</w:t>
      </w:r>
    </w:p>
    <w:p w14:paraId="5A83446E" w14:textId="77777777" w:rsidR="00607317" w:rsidRPr="00607317" w:rsidRDefault="00607317" w:rsidP="00607317">
      <w:pPr>
        <w:pStyle w:val="Akapitzlist"/>
        <w:jc w:val="both"/>
        <w:rPr>
          <w:rFonts w:ascii="Sylfaen" w:eastAsia="Arial" w:hAnsi="Sylfaen"/>
          <w:color w:val="000000"/>
        </w:rPr>
      </w:pPr>
    </w:p>
    <w:p w14:paraId="78E52585" w14:textId="77777777" w:rsidR="00607317" w:rsidRPr="00607317" w:rsidRDefault="00607317" w:rsidP="00607317">
      <w:pPr>
        <w:pStyle w:val="Standard"/>
        <w:spacing w:line="124" w:lineRule="exact"/>
        <w:jc w:val="both"/>
        <w:rPr>
          <w:rFonts w:ascii="Sylfaen" w:eastAsia="Arial" w:hAnsi="Sylfaen"/>
          <w:color w:val="000000"/>
          <w:sz w:val="22"/>
          <w:szCs w:val="22"/>
        </w:rPr>
      </w:pPr>
    </w:p>
    <w:p w14:paraId="09DD5F4C" w14:textId="777AF28E" w:rsidR="00607317" w:rsidRPr="00607317" w:rsidRDefault="00607317" w:rsidP="00607317">
      <w:pPr>
        <w:pStyle w:val="Standard"/>
        <w:numPr>
          <w:ilvl w:val="0"/>
          <w:numId w:val="13"/>
        </w:numPr>
        <w:tabs>
          <w:tab w:val="left" w:pos="124"/>
        </w:tabs>
        <w:spacing w:line="312" w:lineRule="auto"/>
        <w:ind w:left="0" w:right="680" w:firstLine="0"/>
        <w:jc w:val="both"/>
        <w:rPr>
          <w:rFonts w:ascii="Sylfaen" w:eastAsia="Arial" w:hAnsi="Sylfaen"/>
          <w:color w:val="000000"/>
          <w:sz w:val="22"/>
          <w:szCs w:val="22"/>
        </w:rPr>
      </w:pPr>
      <w:r w:rsidRPr="00607317">
        <w:rPr>
          <w:rFonts w:ascii="Sylfaen" w:eastAsia="Arial" w:hAnsi="Sylfaen"/>
          <w:color w:val="000000"/>
          <w:sz w:val="22"/>
          <w:szCs w:val="22"/>
        </w:rPr>
        <w:t>5.</w:t>
      </w:r>
      <w:r w:rsidRPr="00607317">
        <w:rPr>
          <w:rFonts w:ascii="Sylfaen" w:eastAsia="Arial" w:hAnsi="Sylfaen"/>
          <w:color w:val="000000"/>
          <w:sz w:val="22"/>
          <w:szCs w:val="22"/>
        </w:rPr>
        <w:t xml:space="preserve">Czy urządzenie UPS ma znajdować się w pomieszczeniu technicznym rezonansu magnetycznego i zasilać zarówno obwody gwarantowane dla pomieszczenia tomografu i rezonansu? Czy mają to być dwa niezależne UPS dla każdego z tych pomieszczeń? Czy w przypadku, gdy okażę się, że urządzenie UPS nie zmieści się ze względu na gabaryty w pomieszczeniu technicznym, czy jest przewidziane w tym celu pomieszczenie zastępcze? </w:t>
      </w:r>
    </w:p>
    <w:p w14:paraId="0C9DA361" w14:textId="42B82700" w:rsidR="00607317" w:rsidRPr="00607317" w:rsidRDefault="00607317" w:rsidP="00607317">
      <w:pPr>
        <w:pStyle w:val="Standard"/>
        <w:tabs>
          <w:tab w:val="left" w:pos="124"/>
        </w:tabs>
        <w:spacing w:line="312" w:lineRule="auto"/>
        <w:ind w:right="680"/>
        <w:jc w:val="both"/>
        <w:rPr>
          <w:rFonts w:ascii="Sylfaen" w:hAnsi="Sylfaen"/>
          <w:color w:val="000000"/>
          <w:sz w:val="22"/>
          <w:szCs w:val="22"/>
        </w:rPr>
      </w:pPr>
      <w:r w:rsidRPr="00607317">
        <w:rPr>
          <w:rFonts w:ascii="Sylfaen" w:eastAsia="Arial" w:hAnsi="Sylfaen"/>
          <w:color w:val="000000"/>
          <w:sz w:val="22"/>
          <w:szCs w:val="22"/>
        </w:rPr>
        <w:t>Odpowiedz :</w:t>
      </w:r>
      <w:r w:rsidRPr="00607317">
        <w:rPr>
          <w:rFonts w:ascii="Sylfaen" w:eastAsia="Arial" w:hAnsi="Sylfaen"/>
          <w:color w:val="000000"/>
          <w:sz w:val="22"/>
          <w:szCs w:val="22"/>
        </w:rPr>
        <w:t xml:space="preserve"> </w:t>
      </w:r>
      <w:r w:rsidRPr="00607317">
        <w:rPr>
          <w:rFonts w:ascii="Sylfaen" w:eastAsia="Arial" w:hAnsi="Sylfaen"/>
          <w:color w:val="000000"/>
          <w:sz w:val="22"/>
          <w:szCs w:val="22"/>
        </w:rPr>
        <w:t xml:space="preserve">odrębne  </w:t>
      </w:r>
      <w:proofErr w:type="spellStart"/>
      <w:r w:rsidRPr="00607317">
        <w:rPr>
          <w:rFonts w:ascii="Sylfaen" w:eastAsia="Arial" w:hAnsi="Sylfaen"/>
          <w:color w:val="000000"/>
          <w:sz w:val="22"/>
          <w:szCs w:val="22"/>
        </w:rPr>
        <w:t>ups</w:t>
      </w:r>
      <w:proofErr w:type="spellEnd"/>
      <w:r w:rsidRPr="00607317">
        <w:rPr>
          <w:rFonts w:ascii="Sylfaen" w:eastAsia="Arial" w:hAnsi="Sylfaen"/>
          <w:color w:val="000000"/>
          <w:sz w:val="22"/>
          <w:szCs w:val="22"/>
        </w:rPr>
        <w:t xml:space="preserve"> dla każdego z planowanych urządzeń mają znajdować się w pomieszczeniu technicznym zlokalizowanym przy pracowni RM – co przedstawiono w </w:t>
      </w:r>
      <w:r w:rsidRPr="00607317">
        <w:rPr>
          <w:rFonts w:ascii="Sylfaen" w:eastAsia="Arial" w:hAnsi="Sylfaen"/>
          <w:color w:val="000000"/>
          <w:sz w:val="22"/>
          <w:szCs w:val="22"/>
        </w:rPr>
        <w:lastRenderedPageBreak/>
        <w:t>trakcie wizji lokalnej z dnia 03/06/2024.</w:t>
      </w:r>
    </w:p>
    <w:p w14:paraId="16917FA1" w14:textId="77777777" w:rsidR="00607317" w:rsidRPr="00607317" w:rsidRDefault="00607317" w:rsidP="00607317">
      <w:pPr>
        <w:pStyle w:val="Standard"/>
        <w:spacing w:line="113" w:lineRule="exact"/>
        <w:jc w:val="both"/>
        <w:rPr>
          <w:rFonts w:ascii="Sylfaen" w:eastAsia="Arial" w:hAnsi="Sylfaen"/>
          <w:color w:val="000000"/>
          <w:sz w:val="22"/>
          <w:szCs w:val="22"/>
        </w:rPr>
      </w:pPr>
    </w:p>
    <w:p w14:paraId="171F0144" w14:textId="77777777" w:rsidR="00607317" w:rsidRPr="00607317" w:rsidRDefault="00607317" w:rsidP="00607317">
      <w:pPr>
        <w:pStyle w:val="Standard"/>
        <w:numPr>
          <w:ilvl w:val="0"/>
          <w:numId w:val="13"/>
        </w:numPr>
        <w:tabs>
          <w:tab w:val="left" w:pos="-142"/>
        </w:tabs>
        <w:ind w:left="-142"/>
        <w:jc w:val="both"/>
        <w:rPr>
          <w:rFonts w:ascii="Sylfaen" w:hAnsi="Sylfaen"/>
          <w:color w:val="000000"/>
          <w:sz w:val="22"/>
          <w:szCs w:val="22"/>
        </w:rPr>
      </w:pPr>
      <w:r w:rsidRPr="00607317">
        <w:rPr>
          <w:rFonts w:ascii="Sylfaen" w:eastAsia="Arial" w:hAnsi="Sylfaen"/>
          <w:color w:val="000000"/>
          <w:sz w:val="22"/>
          <w:szCs w:val="22"/>
        </w:rPr>
        <w:t xml:space="preserve"> </w:t>
      </w:r>
    </w:p>
    <w:p w14:paraId="66DA1096" w14:textId="49BDF2F8" w:rsidR="00607317" w:rsidRPr="00607317" w:rsidRDefault="00607317" w:rsidP="00607317">
      <w:pPr>
        <w:pStyle w:val="Standard"/>
        <w:numPr>
          <w:ilvl w:val="0"/>
          <w:numId w:val="13"/>
        </w:numPr>
        <w:tabs>
          <w:tab w:val="left" w:pos="-142"/>
        </w:tabs>
        <w:ind w:left="-142" w:firstLine="0"/>
        <w:jc w:val="both"/>
        <w:rPr>
          <w:rFonts w:ascii="Sylfaen" w:hAnsi="Sylfaen"/>
          <w:color w:val="000000"/>
          <w:sz w:val="22"/>
          <w:szCs w:val="22"/>
        </w:rPr>
      </w:pPr>
      <w:r w:rsidRPr="00607317">
        <w:rPr>
          <w:rFonts w:ascii="Sylfaen" w:eastAsia="Arial" w:hAnsi="Sylfaen"/>
          <w:color w:val="000000"/>
          <w:sz w:val="22"/>
          <w:szCs w:val="22"/>
        </w:rPr>
        <w:t xml:space="preserve">  6. </w:t>
      </w:r>
      <w:r w:rsidRPr="00607317">
        <w:rPr>
          <w:rFonts w:ascii="Sylfaen" w:eastAsia="Arial" w:hAnsi="Sylfaen"/>
          <w:color w:val="000000"/>
          <w:sz w:val="22"/>
          <w:szCs w:val="22"/>
        </w:rPr>
        <w:t>Proszę o udostępnienie plików w formacie DWG</w:t>
      </w:r>
    </w:p>
    <w:p w14:paraId="56BB472C" w14:textId="77777777" w:rsidR="00607317" w:rsidRPr="00607317" w:rsidRDefault="00607317" w:rsidP="00607317">
      <w:pPr>
        <w:pStyle w:val="Standard"/>
        <w:tabs>
          <w:tab w:val="left" w:pos="0"/>
        </w:tabs>
        <w:jc w:val="both"/>
        <w:rPr>
          <w:rFonts w:ascii="Sylfaen" w:eastAsia="Arial" w:hAnsi="Sylfaen"/>
          <w:color w:val="000000"/>
          <w:sz w:val="22"/>
          <w:szCs w:val="22"/>
        </w:rPr>
      </w:pPr>
      <w:r w:rsidRPr="00607317">
        <w:rPr>
          <w:rFonts w:ascii="Sylfaen" w:eastAsia="Arial" w:hAnsi="Sylfaen"/>
          <w:color w:val="000000"/>
          <w:sz w:val="22"/>
          <w:szCs w:val="22"/>
        </w:rPr>
        <w:t>Odpowiedź: Zamawiający udostępni Wykonawcom plik w formacie DWG</w:t>
      </w:r>
    </w:p>
    <w:p w14:paraId="69A64669" w14:textId="77777777" w:rsidR="00607317" w:rsidRPr="00607317" w:rsidRDefault="00607317" w:rsidP="00607317">
      <w:pPr>
        <w:pStyle w:val="Standard"/>
        <w:spacing w:line="195" w:lineRule="exact"/>
        <w:jc w:val="both"/>
        <w:rPr>
          <w:rFonts w:ascii="Sylfaen" w:eastAsia="Arial" w:hAnsi="Sylfaen"/>
          <w:color w:val="000000"/>
          <w:sz w:val="22"/>
          <w:szCs w:val="22"/>
        </w:rPr>
      </w:pPr>
    </w:p>
    <w:p w14:paraId="444FF02E" w14:textId="77777777" w:rsidR="00607317" w:rsidRPr="00607317" w:rsidRDefault="00607317" w:rsidP="00607317">
      <w:pPr>
        <w:pStyle w:val="Standard"/>
        <w:numPr>
          <w:ilvl w:val="0"/>
          <w:numId w:val="13"/>
        </w:numPr>
        <w:tabs>
          <w:tab w:val="left" w:pos="124"/>
        </w:tabs>
        <w:spacing w:line="312" w:lineRule="auto"/>
        <w:ind w:right="120"/>
        <w:jc w:val="both"/>
        <w:rPr>
          <w:rFonts w:ascii="Sylfaen" w:eastAsia="Arial" w:hAnsi="Sylfaen"/>
          <w:color w:val="000000"/>
          <w:sz w:val="22"/>
          <w:szCs w:val="22"/>
        </w:rPr>
      </w:pPr>
    </w:p>
    <w:p w14:paraId="2AE82BC6" w14:textId="527A9917" w:rsidR="00607317" w:rsidRPr="00607317" w:rsidRDefault="00607317" w:rsidP="00607317">
      <w:pPr>
        <w:pStyle w:val="Standard"/>
        <w:numPr>
          <w:ilvl w:val="0"/>
          <w:numId w:val="13"/>
        </w:numPr>
        <w:tabs>
          <w:tab w:val="left" w:pos="124"/>
        </w:tabs>
        <w:spacing w:line="312" w:lineRule="auto"/>
        <w:ind w:left="0" w:right="120" w:firstLine="0"/>
        <w:jc w:val="both"/>
        <w:rPr>
          <w:rFonts w:ascii="Sylfaen" w:eastAsia="Arial" w:hAnsi="Sylfaen"/>
          <w:color w:val="000000"/>
          <w:sz w:val="22"/>
          <w:szCs w:val="22"/>
        </w:rPr>
      </w:pPr>
      <w:r w:rsidRPr="00607317">
        <w:rPr>
          <w:rFonts w:ascii="Sylfaen" w:eastAsia="Arial" w:hAnsi="Sylfaen"/>
          <w:color w:val="000000"/>
          <w:sz w:val="22"/>
          <w:szCs w:val="22"/>
        </w:rPr>
        <w:t xml:space="preserve">7. </w:t>
      </w:r>
      <w:r w:rsidRPr="00607317">
        <w:rPr>
          <w:rFonts w:ascii="Sylfaen" w:eastAsia="Arial" w:hAnsi="Sylfaen"/>
          <w:color w:val="000000"/>
          <w:sz w:val="22"/>
          <w:szCs w:val="22"/>
        </w:rPr>
        <w:t>Proszę o ustalenie harmonogramu prac związanych z demontażem obecnych urządzeń. Chcielibyśmy być obecni podczas rozbiórki dachu, aby móc zweryfikować jego stan techniczny.</w:t>
      </w:r>
    </w:p>
    <w:p w14:paraId="552C8067" w14:textId="77777777" w:rsidR="00B13B47" w:rsidRDefault="00607317" w:rsidP="00607317">
      <w:pPr>
        <w:pStyle w:val="Standard"/>
        <w:tabs>
          <w:tab w:val="left" w:pos="124"/>
        </w:tabs>
        <w:ind w:right="120"/>
        <w:jc w:val="both"/>
        <w:rPr>
          <w:rFonts w:ascii="Sylfaen" w:eastAsia="Arial" w:hAnsi="Sylfaen"/>
          <w:color w:val="000000"/>
          <w:sz w:val="22"/>
          <w:szCs w:val="22"/>
        </w:rPr>
      </w:pPr>
      <w:r w:rsidRPr="00607317">
        <w:rPr>
          <w:rFonts w:ascii="Sylfaen" w:eastAsia="Arial" w:hAnsi="Sylfaen"/>
          <w:color w:val="000000"/>
          <w:sz w:val="22"/>
          <w:szCs w:val="22"/>
        </w:rPr>
        <w:t xml:space="preserve">Odpowiedź: </w:t>
      </w:r>
    </w:p>
    <w:p w14:paraId="72025DAC" w14:textId="708F9E93" w:rsidR="00607317" w:rsidRPr="00607317" w:rsidRDefault="00B13B47" w:rsidP="00607317">
      <w:pPr>
        <w:pStyle w:val="Standard"/>
        <w:tabs>
          <w:tab w:val="left" w:pos="124"/>
        </w:tabs>
        <w:ind w:right="120"/>
        <w:jc w:val="both"/>
        <w:rPr>
          <w:rFonts w:ascii="Sylfaen" w:eastAsia="Arial" w:hAnsi="Sylfaen"/>
          <w:color w:val="000000"/>
          <w:sz w:val="22"/>
          <w:szCs w:val="22"/>
        </w:rPr>
      </w:pPr>
      <w:r>
        <w:rPr>
          <w:rFonts w:ascii="Sylfaen" w:eastAsia="Arial" w:hAnsi="Sylfaen"/>
          <w:color w:val="000000"/>
          <w:sz w:val="22"/>
          <w:szCs w:val="22"/>
        </w:rPr>
        <w:t xml:space="preserve">Zamawiający w dniu 7.06.2024 r. udostępnił na stronie prowadzonego postępowania harmonogram prac, i tak: </w:t>
      </w:r>
      <w:r w:rsidR="00607317" w:rsidRPr="00607317">
        <w:rPr>
          <w:rFonts w:ascii="Sylfaen" w:eastAsia="Arial" w:hAnsi="Sylfaen"/>
          <w:color w:val="000000"/>
          <w:sz w:val="22"/>
          <w:szCs w:val="22"/>
        </w:rPr>
        <w:t>1.  Demontaż klatki 03-07/06/2024</w:t>
      </w:r>
    </w:p>
    <w:p w14:paraId="5FD08B30" w14:textId="77777777" w:rsidR="00607317" w:rsidRPr="00607317" w:rsidRDefault="00607317" w:rsidP="00607317">
      <w:pPr>
        <w:tabs>
          <w:tab w:val="left" w:pos="844"/>
        </w:tabs>
        <w:spacing w:after="0" w:line="240" w:lineRule="auto"/>
        <w:ind w:right="120"/>
        <w:jc w:val="both"/>
        <w:rPr>
          <w:rFonts w:ascii="Sylfaen" w:eastAsia="Arial" w:hAnsi="Sylfaen"/>
          <w:color w:val="000000"/>
        </w:rPr>
      </w:pPr>
      <w:r w:rsidRPr="00607317">
        <w:rPr>
          <w:rFonts w:ascii="Sylfaen" w:eastAsia="Arial" w:hAnsi="Sylfaen"/>
          <w:color w:val="000000"/>
        </w:rPr>
        <w:t>2. Demontaż konstrukcji dachu  04-7/2024/2024</w:t>
      </w:r>
    </w:p>
    <w:p w14:paraId="5E78AC71" w14:textId="77777777" w:rsidR="00607317" w:rsidRPr="00607317" w:rsidRDefault="00607317" w:rsidP="00607317">
      <w:pPr>
        <w:tabs>
          <w:tab w:val="left" w:pos="844"/>
        </w:tabs>
        <w:spacing w:after="0" w:line="240" w:lineRule="auto"/>
        <w:ind w:right="120"/>
        <w:jc w:val="both"/>
        <w:rPr>
          <w:rFonts w:ascii="Sylfaen" w:eastAsia="Arial" w:hAnsi="Sylfaen"/>
          <w:color w:val="000000"/>
        </w:rPr>
      </w:pPr>
      <w:r w:rsidRPr="00607317">
        <w:rPr>
          <w:rFonts w:ascii="Sylfaen" w:eastAsia="Arial" w:hAnsi="Sylfaen"/>
          <w:color w:val="000000"/>
        </w:rPr>
        <w:t>3. Ponowny montaż konstrukcji dachu  po wyprowadzeniu aparatu 08-12/06/2024</w:t>
      </w:r>
    </w:p>
    <w:p w14:paraId="4818B89B" w14:textId="77777777" w:rsidR="00D24399" w:rsidRDefault="00D24399" w:rsidP="00607317">
      <w:pPr>
        <w:suppressAutoHyphens w:val="0"/>
        <w:spacing w:line="256" w:lineRule="auto"/>
        <w:jc w:val="both"/>
        <w:rPr>
          <w:rFonts w:ascii="Arial Narrow" w:hAnsi="Arial Narrow"/>
          <w:kern w:val="2"/>
          <w:sz w:val="21"/>
          <w:szCs w:val="21"/>
          <w:lang w:eastAsia="en-US"/>
        </w:rPr>
      </w:pPr>
    </w:p>
    <w:p w14:paraId="66C05C12" w14:textId="29F89403" w:rsidR="00B13B47" w:rsidRPr="00607317" w:rsidRDefault="00B13B47" w:rsidP="00B13B47">
      <w:pPr>
        <w:pStyle w:val="Nagwek1"/>
        <w:spacing w:before="0" w:after="0"/>
        <w:ind w:firstLine="708"/>
        <w:jc w:val="both"/>
        <w:rPr>
          <w:rFonts w:ascii="Sylfaen" w:hAnsi="Sylfaen" w:cs="Times New Roman"/>
          <w:b w:val="0"/>
          <w:sz w:val="22"/>
          <w:szCs w:val="22"/>
          <w:lang w:val="pl-PL"/>
        </w:rPr>
      </w:pPr>
      <w:r w:rsidRPr="00607317">
        <w:rPr>
          <w:rFonts w:ascii="Sylfaen" w:hAnsi="Sylfaen" w:cs="Times New Roman"/>
          <w:b w:val="0"/>
          <w:sz w:val="22"/>
          <w:szCs w:val="22"/>
        </w:rPr>
        <w:t>W związku ze skierowanym</w:t>
      </w:r>
      <w:r w:rsidRPr="00607317">
        <w:rPr>
          <w:rFonts w:ascii="Sylfaen" w:hAnsi="Sylfaen" w:cs="Times New Roman"/>
          <w:b w:val="0"/>
          <w:sz w:val="22"/>
          <w:szCs w:val="22"/>
          <w:lang w:val="pl-PL"/>
        </w:rPr>
        <w:t>i</w:t>
      </w:r>
      <w:r w:rsidRPr="00607317">
        <w:rPr>
          <w:rFonts w:ascii="Sylfaen" w:hAnsi="Sylfaen" w:cs="Times New Roman"/>
          <w:b w:val="0"/>
          <w:sz w:val="22"/>
          <w:szCs w:val="22"/>
        </w:rPr>
        <w:t xml:space="preserve"> przez Wykonawcę w dniu </w:t>
      </w:r>
      <w:r>
        <w:rPr>
          <w:rFonts w:ascii="Sylfaen" w:hAnsi="Sylfaen" w:cs="Times New Roman"/>
          <w:b w:val="0"/>
          <w:sz w:val="22"/>
          <w:szCs w:val="22"/>
        </w:rPr>
        <w:t>28</w:t>
      </w:r>
      <w:r w:rsidRPr="00607317">
        <w:rPr>
          <w:rFonts w:ascii="Sylfaen" w:hAnsi="Sylfaen" w:cs="Times New Roman"/>
          <w:b w:val="0"/>
          <w:sz w:val="22"/>
          <w:szCs w:val="22"/>
          <w:lang w:val="pl-PL"/>
        </w:rPr>
        <w:t>.0</w:t>
      </w:r>
      <w:r>
        <w:rPr>
          <w:rFonts w:ascii="Sylfaen" w:hAnsi="Sylfaen" w:cs="Times New Roman"/>
          <w:b w:val="0"/>
          <w:sz w:val="22"/>
          <w:szCs w:val="22"/>
          <w:lang w:val="pl-PL"/>
        </w:rPr>
        <w:t>5</w:t>
      </w:r>
      <w:r w:rsidRPr="00607317">
        <w:rPr>
          <w:rFonts w:ascii="Sylfaen" w:hAnsi="Sylfaen" w:cs="Times New Roman"/>
          <w:b w:val="0"/>
          <w:sz w:val="22"/>
          <w:szCs w:val="22"/>
          <w:lang w:val="pl-PL"/>
        </w:rPr>
        <w:t>.</w:t>
      </w:r>
      <w:r w:rsidRPr="00607317">
        <w:rPr>
          <w:rFonts w:ascii="Sylfaen" w:hAnsi="Sylfaen" w:cs="Times New Roman"/>
          <w:b w:val="0"/>
          <w:sz w:val="22"/>
          <w:szCs w:val="22"/>
        </w:rPr>
        <w:t>202</w:t>
      </w:r>
      <w:r w:rsidRPr="00607317">
        <w:rPr>
          <w:rFonts w:ascii="Sylfaen" w:hAnsi="Sylfaen" w:cs="Times New Roman"/>
          <w:b w:val="0"/>
          <w:sz w:val="22"/>
          <w:szCs w:val="22"/>
          <w:lang w:val="pl-PL"/>
        </w:rPr>
        <w:t>4</w:t>
      </w:r>
      <w:r w:rsidRPr="00607317">
        <w:rPr>
          <w:rFonts w:ascii="Sylfaen" w:hAnsi="Sylfaen" w:cs="Times New Roman"/>
          <w:b w:val="0"/>
          <w:sz w:val="22"/>
          <w:szCs w:val="22"/>
        </w:rPr>
        <w:t xml:space="preserve"> r. pytan</w:t>
      </w:r>
      <w:r w:rsidRPr="00607317">
        <w:rPr>
          <w:rFonts w:ascii="Sylfaen" w:hAnsi="Sylfaen" w:cs="Times New Roman"/>
          <w:b w:val="0"/>
          <w:sz w:val="22"/>
          <w:szCs w:val="22"/>
          <w:lang w:val="pl-PL"/>
        </w:rPr>
        <w:t xml:space="preserve">iami </w:t>
      </w:r>
      <w:r w:rsidRPr="00607317">
        <w:rPr>
          <w:rFonts w:ascii="Sylfaen" w:hAnsi="Sylfaen" w:cs="Times New Roman"/>
          <w:b w:val="0"/>
          <w:sz w:val="22"/>
          <w:szCs w:val="22"/>
        </w:rPr>
        <w:t xml:space="preserve">do </w:t>
      </w:r>
      <w:r w:rsidRPr="00607317">
        <w:rPr>
          <w:rFonts w:ascii="Sylfaen" w:hAnsi="Sylfaen" w:cs="Times New Roman"/>
          <w:b w:val="0"/>
          <w:sz w:val="22"/>
          <w:szCs w:val="22"/>
          <w:lang w:val="pl-PL"/>
        </w:rPr>
        <w:t>SWZ</w:t>
      </w:r>
      <w:r w:rsidRPr="00607317">
        <w:rPr>
          <w:rFonts w:ascii="Sylfaen" w:hAnsi="Sylfaen" w:cs="Times New Roman"/>
          <w:b w:val="0"/>
          <w:sz w:val="22"/>
          <w:szCs w:val="22"/>
        </w:rPr>
        <w:t xml:space="preserve"> Specjalistyczny Szpital Miejski im. M. Kopernika w Toruniu informuje o</w:t>
      </w:r>
      <w:r w:rsidRPr="00607317">
        <w:rPr>
          <w:rFonts w:ascii="Sylfaen" w:hAnsi="Sylfaen" w:cs="Times New Roman"/>
          <w:b w:val="0"/>
          <w:sz w:val="22"/>
          <w:szCs w:val="22"/>
          <w:lang w:val="pl-PL"/>
        </w:rPr>
        <w:t xml:space="preserve"> ich treści</w:t>
      </w:r>
      <w:r w:rsidRPr="00607317">
        <w:rPr>
          <w:rFonts w:ascii="Sylfaen" w:hAnsi="Sylfaen" w:cs="Times New Roman"/>
          <w:b w:val="0"/>
          <w:sz w:val="22"/>
          <w:szCs w:val="22"/>
        </w:rPr>
        <w:t xml:space="preserve"> i udzielon</w:t>
      </w:r>
      <w:r w:rsidRPr="00607317">
        <w:rPr>
          <w:rFonts w:ascii="Sylfaen" w:hAnsi="Sylfaen" w:cs="Times New Roman"/>
          <w:b w:val="0"/>
          <w:sz w:val="22"/>
          <w:szCs w:val="22"/>
          <w:lang w:val="pl-PL"/>
        </w:rPr>
        <w:t>ych</w:t>
      </w:r>
      <w:r w:rsidRPr="00607317">
        <w:rPr>
          <w:rFonts w:ascii="Sylfaen" w:hAnsi="Sylfaen" w:cs="Times New Roman"/>
          <w:b w:val="0"/>
          <w:sz w:val="22"/>
          <w:szCs w:val="22"/>
        </w:rPr>
        <w:t xml:space="preserve"> na nie odpowiedzi</w:t>
      </w:r>
      <w:r w:rsidRPr="00607317">
        <w:rPr>
          <w:rFonts w:ascii="Sylfaen" w:hAnsi="Sylfaen" w:cs="Times New Roman"/>
          <w:b w:val="0"/>
          <w:sz w:val="22"/>
          <w:szCs w:val="22"/>
          <w:lang w:val="pl-PL"/>
        </w:rPr>
        <w:t>ach.</w:t>
      </w:r>
    </w:p>
    <w:p w14:paraId="745944BD" w14:textId="77777777" w:rsidR="00B13B47" w:rsidRDefault="00B13B47" w:rsidP="00D47448">
      <w:pPr>
        <w:suppressAutoHyphens w:val="0"/>
        <w:spacing w:line="256" w:lineRule="auto"/>
        <w:jc w:val="both"/>
        <w:rPr>
          <w:rFonts w:ascii="Arial Narrow" w:hAnsi="Arial Narrow"/>
          <w:kern w:val="2"/>
          <w:sz w:val="16"/>
          <w:szCs w:val="16"/>
          <w:lang w:eastAsia="en-US"/>
        </w:rPr>
      </w:pPr>
    </w:p>
    <w:p w14:paraId="2BF0E814" w14:textId="6F1EF75D" w:rsidR="00EB1588" w:rsidRPr="009B2538" w:rsidRDefault="00EB1588" w:rsidP="009B2538">
      <w:pPr>
        <w:spacing w:after="0"/>
        <w:jc w:val="both"/>
        <w:rPr>
          <w:rFonts w:ascii="Sylfaen" w:eastAsia="Times New Roman" w:hAnsi="Sylfaen" w:cs="Calibri Light"/>
          <w:kern w:val="0"/>
          <w:lang w:eastAsia="pl-PL"/>
        </w:rPr>
      </w:pPr>
      <w:r w:rsidRPr="009B2538">
        <w:rPr>
          <w:rFonts w:ascii="Sylfaen" w:hAnsi="Sylfaen" w:cs="Calibri Light"/>
        </w:rPr>
        <w:t>Pytanie 1</w:t>
      </w:r>
    </w:p>
    <w:p w14:paraId="54040E26" w14:textId="77777777" w:rsidR="00EB1588" w:rsidRPr="009B2538" w:rsidRDefault="00EB1588" w:rsidP="009B2538">
      <w:pPr>
        <w:spacing w:after="0"/>
        <w:jc w:val="both"/>
        <w:rPr>
          <w:rFonts w:ascii="Sylfaen" w:hAnsi="Sylfaen" w:cs="Calibri Light"/>
        </w:rPr>
      </w:pPr>
      <w:r w:rsidRPr="009B2538">
        <w:rPr>
          <w:rFonts w:ascii="Sylfaen" w:hAnsi="Sylfaen" w:cs="Calibri Light"/>
        </w:rPr>
        <w:t xml:space="preserve">Czy Zamawiający oczekuje dostarczenia </w:t>
      </w:r>
      <w:proofErr w:type="spellStart"/>
      <w:r w:rsidRPr="009B2538">
        <w:rPr>
          <w:rFonts w:ascii="Sylfaen" w:hAnsi="Sylfaen" w:cs="Calibri Light"/>
        </w:rPr>
        <w:t>wstrzykiwacz</w:t>
      </w:r>
      <w:proofErr w:type="spellEnd"/>
      <w:r w:rsidRPr="009B2538">
        <w:rPr>
          <w:rFonts w:ascii="Sylfaen" w:hAnsi="Sylfaen" w:cs="Calibri Light"/>
        </w:rPr>
        <w:t xml:space="preserve"> pracującego w technologii tłokowej? Technologia wymuszania przepływu poprzez zastosowanie tłoków gwarantuje stabilną i zwartą geometrię bolusa środka kontrastowego oraz utrzymanie zadanej prędkości przepływu przez cały okres trwania iniekcji bez fluktuacji charakterystycznych dla pomp rolkowych.</w:t>
      </w:r>
    </w:p>
    <w:p w14:paraId="1811D3BD" w14:textId="77777777" w:rsidR="00EB1588" w:rsidRPr="009B2538" w:rsidRDefault="00EB1588" w:rsidP="009B2538">
      <w:pPr>
        <w:spacing w:after="0"/>
        <w:jc w:val="both"/>
        <w:rPr>
          <w:rFonts w:ascii="Sylfaen" w:hAnsi="Sylfaen" w:cs="Calibri Light"/>
        </w:rPr>
      </w:pPr>
      <w:r w:rsidRPr="009B2538">
        <w:rPr>
          <w:rFonts w:ascii="Sylfaen" w:hAnsi="Sylfaen" w:cs="Calibri Light"/>
        </w:rPr>
        <w:t>Pytanie2</w:t>
      </w:r>
    </w:p>
    <w:p w14:paraId="7EF4B5D3" w14:textId="77777777" w:rsidR="00EB1588" w:rsidRPr="009B2538" w:rsidRDefault="00EB1588" w:rsidP="009B2538">
      <w:pPr>
        <w:spacing w:after="0"/>
        <w:jc w:val="both"/>
        <w:rPr>
          <w:rFonts w:ascii="Sylfaen" w:hAnsi="Sylfaen" w:cs="Calibri Light"/>
        </w:rPr>
      </w:pPr>
      <w:r w:rsidRPr="009B2538">
        <w:rPr>
          <w:rFonts w:ascii="Sylfaen" w:hAnsi="Sylfaen" w:cs="Calibri Light"/>
        </w:rPr>
        <w:t xml:space="preserve">„Czy zamawiający będzie wymagał aby </w:t>
      </w:r>
      <w:proofErr w:type="spellStart"/>
      <w:r w:rsidRPr="009B2538">
        <w:rPr>
          <w:rFonts w:ascii="Sylfaen" w:hAnsi="Sylfaen" w:cs="Calibri Light"/>
        </w:rPr>
        <w:t>wstrzykiwacz</w:t>
      </w:r>
      <w:proofErr w:type="spellEnd"/>
      <w:r w:rsidRPr="009B2538">
        <w:rPr>
          <w:rFonts w:ascii="Sylfaen" w:hAnsi="Sylfaen" w:cs="Calibri Light"/>
        </w:rPr>
        <w:t xml:space="preserve"> był przystosowany do pracy na wkładach jednorazowego jak i  wielorazowego użytku z minimalnym okresem użytkowania wkładu wielorazowego 24 godziny bez limitu wykonanych iniekcji? Zastosowanie takiego rozwiązania pozwoli zamawiającemu optymalnie zarządzać kosztami materiałów zużywalnych i dostosowywać je do ilości zaplanowanych badań.</w:t>
      </w:r>
    </w:p>
    <w:p w14:paraId="0CF05A63" w14:textId="77777777" w:rsidR="00EB1588" w:rsidRPr="009B2538" w:rsidRDefault="00EB1588" w:rsidP="009B2538">
      <w:pPr>
        <w:spacing w:after="0"/>
        <w:jc w:val="both"/>
        <w:rPr>
          <w:rFonts w:ascii="Sylfaen" w:hAnsi="Sylfaen" w:cs="Calibri Light"/>
        </w:rPr>
      </w:pPr>
      <w:r w:rsidRPr="009B2538">
        <w:rPr>
          <w:rFonts w:ascii="Sylfaen" w:hAnsi="Sylfaen" w:cs="Calibri Light"/>
        </w:rPr>
        <w:t>Pytanie 3</w:t>
      </w:r>
    </w:p>
    <w:p w14:paraId="7BC84FD1" w14:textId="77777777" w:rsidR="00EB1588" w:rsidRPr="009B2538" w:rsidRDefault="00EB1588" w:rsidP="009B2538">
      <w:pPr>
        <w:spacing w:after="0"/>
        <w:jc w:val="both"/>
        <w:rPr>
          <w:rFonts w:ascii="Sylfaen" w:hAnsi="Sylfaen" w:cs="Calibri Light"/>
        </w:rPr>
      </w:pPr>
      <w:r w:rsidRPr="009B2538">
        <w:rPr>
          <w:rFonts w:ascii="Sylfaen" w:hAnsi="Sylfaen" w:cs="Calibri Light"/>
        </w:rPr>
        <w:t xml:space="preserve">„Czy zamawiający będzie wymagał aby </w:t>
      </w:r>
      <w:proofErr w:type="spellStart"/>
      <w:r w:rsidRPr="009B2538">
        <w:rPr>
          <w:rFonts w:ascii="Sylfaen" w:hAnsi="Sylfaen" w:cs="Calibri Light"/>
        </w:rPr>
        <w:t>wstrzykiwacz</w:t>
      </w:r>
      <w:proofErr w:type="spellEnd"/>
      <w:r w:rsidRPr="009B2538">
        <w:rPr>
          <w:rFonts w:ascii="Sylfaen" w:hAnsi="Sylfaen" w:cs="Calibri Light"/>
        </w:rPr>
        <w:t xml:space="preserve"> miał możliwość objęcia go zdalnym nadzorem serwisowym poprzez łącze internetowe (W przypadku zdalnego podłączenia aparatu możliwość proaktywnego monitorowania pracy systemu przez Serwis)?</w:t>
      </w:r>
    </w:p>
    <w:p w14:paraId="4EAB0C8C" w14:textId="77777777" w:rsidR="00EB1588" w:rsidRPr="009B2538" w:rsidRDefault="00EB1588" w:rsidP="009B2538">
      <w:pPr>
        <w:spacing w:after="0"/>
        <w:jc w:val="both"/>
        <w:rPr>
          <w:rFonts w:ascii="Sylfaen" w:hAnsi="Sylfaen" w:cs="Calibri Light"/>
        </w:rPr>
      </w:pPr>
      <w:r w:rsidRPr="009B2538">
        <w:rPr>
          <w:rFonts w:ascii="Sylfaen" w:hAnsi="Sylfaen" w:cs="Calibri Light"/>
        </w:rPr>
        <w:t>Pytanie 4</w:t>
      </w:r>
    </w:p>
    <w:p w14:paraId="130D2803" w14:textId="77777777" w:rsidR="00EB1588" w:rsidRPr="009B2538" w:rsidRDefault="00EB1588" w:rsidP="009B2538">
      <w:pPr>
        <w:spacing w:after="0"/>
        <w:jc w:val="both"/>
        <w:rPr>
          <w:rFonts w:ascii="Sylfaen" w:hAnsi="Sylfaen" w:cs="Calibri Light"/>
        </w:rPr>
      </w:pPr>
      <w:r w:rsidRPr="009B2538">
        <w:rPr>
          <w:rFonts w:ascii="Sylfaen" w:hAnsi="Sylfaen" w:cs="Calibri Light"/>
        </w:rPr>
        <w:t xml:space="preserve">Czy Zamawiający wymaga aby </w:t>
      </w:r>
      <w:proofErr w:type="spellStart"/>
      <w:r w:rsidRPr="009B2538">
        <w:rPr>
          <w:rFonts w:ascii="Sylfaen" w:hAnsi="Sylfaen" w:cs="Calibri Light"/>
        </w:rPr>
        <w:t>wstrzykiwacz</w:t>
      </w:r>
      <w:proofErr w:type="spellEnd"/>
      <w:r w:rsidRPr="009B2538">
        <w:rPr>
          <w:rFonts w:ascii="Sylfaen" w:hAnsi="Sylfaen" w:cs="Calibri Light"/>
        </w:rPr>
        <w:t xml:space="preserve"> był wyposażony w kalkulator </w:t>
      </w:r>
      <w:proofErr w:type="spellStart"/>
      <w:r w:rsidRPr="009B2538">
        <w:rPr>
          <w:rFonts w:ascii="Sylfaen" w:hAnsi="Sylfaen" w:cs="Calibri Light"/>
        </w:rPr>
        <w:t>eGFR</w:t>
      </w:r>
      <w:proofErr w:type="spellEnd"/>
      <w:r w:rsidRPr="009B2538">
        <w:rPr>
          <w:rFonts w:ascii="Sylfaen" w:hAnsi="Sylfaen" w:cs="Calibri Light"/>
        </w:rPr>
        <w:t xml:space="preserve"> z opcją pacjenci pediatryczni/ pacjenci dorośli?</w:t>
      </w:r>
    </w:p>
    <w:p w14:paraId="70C8B8A6" w14:textId="7905813B" w:rsidR="009B2538" w:rsidRPr="009B2538" w:rsidRDefault="009B2538" w:rsidP="009B2538">
      <w:pPr>
        <w:pStyle w:val="Standard"/>
        <w:autoSpaceDE w:val="0"/>
        <w:jc w:val="both"/>
        <w:rPr>
          <w:rFonts w:ascii="Sylfaen" w:eastAsia="Source Sans Pro" w:hAnsi="Sylfaen" w:cs="Source Sans Pro"/>
          <w:color w:val="000000"/>
          <w:sz w:val="22"/>
          <w:szCs w:val="22"/>
        </w:rPr>
      </w:pPr>
      <w:r w:rsidRPr="009B2538">
        <w:rPr>
          <w:rFonts w:ascii="Sylfaen" w:eastAsia="Source Sans Pro" w:hAnsi="Sylfaen" w:cs="Source Sans Pro"/>
          <w:color w:val="000000"/>
          <w:sz w:val="22"/>
          <w:szCs w:val="22"/>
        </w:rPr>
        <w:t>Odpowiedź na pytania nr 1-4</w:t>
      </w:r>
    </w:p>
    <w:p w14:paraId="4A1DEFA7" w14:textId="3DE2300E" w:rsidR="009B2538" w:rsidRDefault="009B2538" w:rsidP="009B2538">
      <w:pPr>
        <w:pStyle w:val="Standard"/>
        <w:autoSpaceDE w:val="0"/>
        <w:jc w:val="both"/>
        <w:rPr>
          <w:rFonts w:ascii="Sylfaen" w:eastAsia="Source Sans Pro" w:hAnsi="Sylfaen" w:cs="Source Sans Pro"/>
          <w:color w:val="000000"/>
          <w:sz w:val="22"/>
          <w:szCs w:val="22"/>
        </w:rPr>
      </w:pPr>
      <w:r w:rsidRPr="009B2538">
        <w:rPr>
          <w:rFonts w:ascii="Sylfaen" w:eastAsia="Source Sans Pro" w:hAnsi="Sylfaen" w:cs="Source Sans Pro"/>
          <w:color w:val="000000"/>
          <w:sz w:val="22"/>
          <w:szCs w:val="22"/>
        </w:rPr>
        <w:t xml:space="preserve">Zamawiający odstępuje od konieczności dostarczenia </w:t>
      </w:r>
      <w:proofErr w:type="spellStart"/>
      <w:r w:rsidRPr="009B2538">
        <w:rPr>
          <w:rFonts w:ascii="Sylfaen" w:eastAsia="Source Sans Pro" w:hAnsi="Sylfaen" w:cs="Source Sans Pro"/>
          <w:color w:val="000000"/>
          <w:sz w:val="22"/>
          <w:szCs w:val="22"/>
        </w:rPr>
        <w:t>wstrzykiwacza</w:t>
      </w:r>
      <w:proofErr w:type="spellEnd"/>
      <w:r w:rsidRPr="009B2538">
        <w:rPr>
          <w:rFonts w:ascii="Sylfaen" w:eastAsia="Source Sans Pro" w:hAnsi="Sylfaen" w:cs="Source Sans Pro"/>
          <w:color w:val="000000"/>
          <w:sz w:val="22"/>
          <w:szCs w:val="22"/>
        </w:rPr>
        <w:t xml:space="preserve"> kontra</w:t>
      </w:r>
      <w:r>
        <w:rPr>
          <w:rFonts w:ascii="Sylfaen" w:eastAsia="Source Sans Pro" w:hAnsi="Sylfaen" w:cs="Source Sans Pro"/>
          <w:color w:val="000000"/>
          <w:sz w:val="22"/>
          <w:szCs w:val="22"/>
        </w:rPr>
        <w:t>s</w:t>
      </w:r>
      <w:r w:rsidRPr="009B2538">
        <w:rPr>
          <w:rFonts w:ascii="Sylfaen" w:eastAsia="Source Sans Pro" w:hAnsi="Sylfaen" w:cs="Source Sans Pro"/>
          <w:color w:val="000000"/>
          <w:sz w:val="22"/>
          <w:szCs w:val="22"/>
        </w:rPr>
        <w:t>tu i usuwa wymóg opisany w punkcie 1</w:t>
      </w:r>
      <w:r w:rsidR="0009587F">
        <w:rPr>
          <w:rFonts w:ascii="Sylfaen" w:eastAsia="Source Sans Pro" w:hAnsi="Sylfaen" w:cs="Source Sans Pro"/>
          <w:color w:val="000000"/>
          <w:sz w:val="22"/>
          <w:szCs w:val="22"/>
        </w:rPr>
        <w:t>27</w:t>
      </w:r>
      <w:r>
        <w:rPr>
          <w:rFonts w:ascii="Sylfaen" w:eastAsia="Source Sans Pro" w:hAnsi="Sylfaen" w:cs="Source Sans Pro"/>
          <w:color w:val="000000"/>
          <w:sz w:val="22"/>
          <w:szCs w:val="22"/>
        </w:rPr>
        <w:t xml:space="preserve"> – patrz modyfikacja SWZ.</w:t>
      </w:r>
    </w:p>
    <w:p w14:paraId="2BF94EE4" w14:textId="77777777" w:rsidR="009B2538" w:rsidRPr="009B2538" w:rsidRDefault="009B2538" w:rsidP="009B2538">
      <w:pPr>
        <w:pStyle w:val="Standard"/>
        <w:autoSpaceDE w:val="0"/>
        <w:jc w:val="both"/>
        <w:rPr>
          <w:rFonts w:ascii="Sylfaen" w:eastAsia="Source Sans Pro" w:hAnsi="Sylfaen" w:cs="Source Sans Pro"/>
          <w:color w:val="000000"/>
          <w:sz w:val="22"/>
          <w:szCs w:val="22"/>
        </w:rPr>
      </w:pPr>
    </w:p>
    <w:p w14:paraId="18D23C2B" w14:textId="77777777" w:rsidR="00B13B47" w:rsidRDefault="00B13B47" w:rsidP="00D47448">
      <w:pPr>
        <w:suppressAutoHyphens w:val="0"/>
        <w:spacing w:line="256" w:lineRule="auto"/>
        <w:jc w:val="both"/>
        <w:rPr>
          <w:rFonts w:ascii="Arial Narrow" w:hAnsi="Arial Narrow"/>
          <w:kern w:val="2"/>
          <w:sz w:val="16"/>
          <w:szCs w:val="16"/>
          <w:lang w:eastAsia="en-US"/>
        </w:rPr>
      </w:pPr>
    </w:p>
    <w:p w14:paraId="44218CBD" w14:textId="77777777" w:rsidR="00B13B47" w:rsidRDefault="00B13B47" w:rsidP="00D47448">
      <w:pPr>
        <w:suppressAutoHyphens w:val="0"/>
        <w:spacing w:line="256" w:lineRule="auto"/>
        <w:jc w:val="both"/>
        <w:rPr>
          <w:rFonts w:ascii="Arial Narrow" w:hAnsi="Arial Narrow"/>
          <w:kern w:val="2"/>
          <w:sz w:val="16"/>
          <w:szCs w:val="16"/>
          <w:lang w:eastAsia="en-US"/>
        </w:rPr>
      </w:pPr>
    </w:p>
    <w:p w14:paraId="4DE535F0" w14:textId="77777777" w:rsidR="00B13B47" w:rsidRDefault="00B13B47" w:rsidP="00D47448">
      <w:pPr>
        <w:suppressAutoHyphens w:val="0"/>
        <w:spacing w:line="256" w:lineRule="auto"/>
        <w:jc w:val="both"/>
        <w:rPr>
          <w:rFonts w:ascii="Arial Narrow" w:hAnsi="Arial Narrow"/>
          <w:kern w:val="2"/>
          <w:sz w:val="16"/>
          <w:szCs w:val="16"/>
          <w:lang w:eastAsia="en-US"/>
        </w:rPr>
      </w:pPr>
    </w:p>
    <w:p w14:paraId="25FE92B1" w14:textId="77777777" w:rsidR="00B13B47" w:rsidRDefault="00B13B47" w:rsidP="00D47448">
      <w:pPr>
        <w:suppressAutoHyphens w:val="0"/>
        <w:spacing w:line="256" w:lineRule="auto"/>
        <w:jc w:val="both"/>
        <w:rPr>
          <w:rFonts w:ascii="Arial Narrow" w:hAnsi="Arial Narrow"/>
          <w:kern w:val="2"/>
          <w:sz w:val="16"/>
          <w:szCs w:val="16"/>
          <w:lang w:eastAsia="en-US"/>
        </w:rPr>
      </w:pPr>
    </w:p>
    <w:p w14:paraId="6573A725" w14:textId="1EF4F61F" w:rsidR="00D47448" w:rsidRPr="00FD75AB" w:rsidRDefault="00D47448" w:rsidP="00D47448">
      <w:pPr>
        <w:suppressAutoHyphens w:val="0"/>
        <w:spacing w:line="256" w:lineRule="auto"/>
        <w:jc w:val="both"/>
        <w:rPr>
          <w:rFonts w:ascii="Arial Narrow" w:hAnsi="Arial Narrow"/>
          <w:kern w:val="2"/>
          <w:sz w:val="16"/>
          <w:szCs w:val="16"/>
          <w:lang w:eastAsia="en-US"/>
        </w:rPr>
      </w:pPr>
      <w:r w:rsidRPr="00FD75AB">
        <w:rPr>
          <w:rFonts w:ascii="Arial Narrow" w:hAnsi="Arial Narrow"/>
          <w:kern w:val="2"/>
          <w:sz w:val="16"/>
          <w:szCs w:val="16"/>
          <w:lang w:eastAsia="en-US"/>
        </w:rPr>
        <w:t xml:space="preserve">W dniu </w:t>
      </w:r>
      <w:r w:rsidR="00B13B47">
        <w:rPr>
          <w:rFonts w:ascii="Arial Narrow" w:hAnsi="Arial Narrow"/>
          <w:kern w:val="2"/>
          <w:sz w:val="16"/>
          <w:szCs w:val="16"/>
          <w:lang w:eastAsia="en-US"/>
        </w:rPr>
        <w:t>17</w:t>
      </w:r>
      <w:r w:rsidRPr="00FD75AB">
        <w:rPr>
          <w:rFonts w:ascii="Arial Narrow" w:hAnsi="Arial Narrow"/>
          <w:kern w:val="2"/>
          <w:sz w:val="16"/>
          <w:szCs w:val="16"/>
          <w:lang w:eastAsia="en-US"/>
        </w:rPr>
        <w:t>.0</w:t>
      </w:r>
      <w:r w:rsidR="00B62FD9" w:rsidRPr="00FD75AB">
        <w:rPr>
          <w:rFonts w:ascii="Arial Narrow" w:hAnsi="Arial Narrow"/>
          <w:kern w:val="2"/>
          <w:sz w:val="16"/>
          <w:szCs w:val="16"/>
          <w:lang w:eastAsia="en-US"/>
        </w:rPr>
        <w:t>6</w:t>
      </w:r>
      <w:r w:rsidRPr="00FD75AB">
        <w:rPr>
          <w:rFonts w:ascii="Arial Narrow" w:hAnsi="Arial Narrow"/>
          <w:kern w:val="2"/>
          <w:sz w:val="16"/>
          <w:szCs w:val="16"/>
          <w:lang w:eastAsia="en-US"/>
        </w:rPr>
        <w:t>.2024 r.</w:t>
      </w:r>
      <w:r w:rsidR="00B62FD9" w:rsidRPr="00FD75AB">
        <w:rPr>
          <w:rFonts w:ascii="Arial Narrow" w:hAnsi="Arial Narrow"/>
          <w:kern w:val="2"/>
          <w:sz w:val="16"/>
          <w:szCs w:val="16"/>
          <w:lang w:eastAsia="en-US"/>
        </w:rPr>
        <w:t xml:space="preserve"> odpowiedzi na pytania </w:t>
      </w:r>
      <w:r w:rsidRPr="00FD75AB">
        <w:rPr>
          <w:rFonts w:ascii="Arial Narrow" w:hAnsi="Arial Narrow"/>
          <w:kern w:val="2"/>
          <w:sz w:val="16"/>
          <w:szCs w:val="16"/>
          <w:lang w:eastAsia="en-US"/>
        </w:rPr>
        <w:t xml:space="preserve"> zamieszczono na stronie  prowadzonego postępowania.</w:t>
      </w:r>
    </w:p>
    <w:sectPr w:rsidR="00D47448" w:rsidRPr="00FD75AB" w:rsidSect="00D2439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F7E72" w14:textId="77777777" w:rsidR="00671F7A" w:rsidRDefault="00671F7A" w:rsidP="00607317">
      <w:pPr>
        <w:spacing w:after="0" w:line="240" w:lineRule="auto"/>
      </w:pPr>
      <w:r>
        <w:separator/>
      </w:r>
    </w:p>
  </w:endnote>
  <w:endnote w:type="continuationSeparator" w:id="0">
    <w:p w14:paraId="57D0E8AE" w14:textId="77777777" w:rsidR="00671F7A" w:rsidRDefault="00671F7A" w:rsidP="00607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EE"/>
    <w:family w:val="roman"/>
    <w:pitch w:val="variable"/>
    <w:sig w:usb0="04000687" w:usb1="00000000" w:usb2="00000000" w:usb3="00000000" w:csb0="0000009F" w:csb1="00000000"/>
  </w:font>
  <w:font w:name="Aptos">
    <w:altName w:val="Aptos"/>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79F89" w14:textId="77777777" w:rsidR="00671F7A" w:rsidRDefault="00671F7A" w:rsidP="00607317">
      <w:pPr>
        <w:spacing w:after="0" w:line="240" w:lineRule="auto"/>
      </w:pPr>
      <w:r>
        <w:separator/>
      </w:r>
    </w:p>
  </w:footnote>
  <w:footnote w:type="continuationSeparator" w:id="0">
    <w:p w14:paraId="24162A69" w14:textId="77777777" w:rsidR="00671F7A" w:rsidRDefault="00671F7A" w:rsidP="00607317">
      <w:pPr>
        <w:spacing w:after="0" w:line="240" w:lineRule="auto"/>
      </w:pPr>
      <w:r>
        <w:continuationSeparator/>
      </w:r>
    </w:p>
  </w:footnote>
  <w:footnote w:id="1">
    <w:p w14:paraId="7B2EC0FD" w14:textId="77777777" w:rsidR="00607317" w:rsidRDefault="00607317" w:rsidP="00607317">
      <w:pPr>
        <w:pStyle w:val="Tekstprzypisudolnego"/>
        <w:rPr>
          <w:rFonts w:ascii="Calibri" w:eastAsiaTheme="minorHAnsi" w:hAnsi="Calibri"/>
        </w:rPr>
      </w:pPr>
      <w:r>
        <w:rPr>
          <w:rStyle w:val="Odwoanieprzypisudolnego"/>
          <w:rFonts w:ascii="Calibri" w:hAnsi="Calibri"/>
        </w:rPr>
        <w:t>[1]</w:t>
      </w:r>
      <w:r>
        <w:rPr>
          <w:rFonts w:ascii="Calibri" w:hAnsi="Calibri"/>
        </w:rPr>
        <w:t xml:space="preserve"> </w:t>
      </w:r>
      <w:r>
        <w:rPr>
          <w:rFonts w:ascii="Calibri" w:hAnsi="Calibri"/>
          <w:i/>
          <w:iCs/>
        </w:rPr>
        <w:t>Rekomendacje udzielania zamówień publicznych na systemy informatyczne</w:t>
      </w:r>
      <w:r>
        <w:rPr>
          <w:rFonts w:ascii="Calibri" w:hAnsi="Calibri"/>
        </w:rPr>
        <w:t xml:space="preserve"> wydane w 2009 roku dostępne są na stronie internetowej Urzędu Zamówień Publicznych pod adresem </w:t>
      </w:r>
      <w:hyperlink r:id="rId1" w:history="1">
        <w:r>
          <w:rPr>
            <w:rStyle w:val="Hipercze"/>
            <w:rFonts w:ascii="Calibri" w:hAnsi="Calibri"/>
          </w:rPr>
          <w:t>https://www.uzp.gov.pl/__data/assets/pdf_file/0025/27574/Rekomendacje_UZP20ws._zamowiec584_na_systemy_informatyczne.pdf</w:t>
        </w:r>
      </w:hyperlink>
      <w:r>
        <w:rPr>
          <w:rFonts w:ascii="Calibri" w:hAnsi="Calibri"/>
        </w:rPr>
        <w:t xml:space="preserve"> </w:t>
      </w:r>
    </w:p>
  </w:footnote>
  <w:footnote w:id="2">
    <w:p w14:paraId="4BAEAA43" w14:textId="77777777" w:rsidR="00607317" w:rsidRDefault="00607317" w:rsidP="00607317">
      <w:pPr>
        <w:pStyle w:val="Tekstprzypisudolnego"/>
        <w:jc w:val="both"/>
        <w:rPr>
          <w:rFonts w:ascii="Calibri" w:hAnsi="Calibri"/>
          <w:sz w:val="18"/>
          <w:szCs w:val="18"/>
        </w:rPr>
      </w:pPr>
      <w:r>
        <w:rPr>
          <w:rStyle w:val="Odwoanieprzypisudolnego"/>
          <w:rFonts w:ascii="Calibri" w:hAnsi="Calibri"/>
          <w:sz w:val="18"/>
          <w:szCs w:val="18"/>
        </w:rPr>
        <w:t>[2]</w:t>
      </w:r>
      <w:r>
        <w:rPr>
          <w:rFonts w:ascii="Calibri" w:hAnsi="Calibri"/>
          <w:sz w:val="18"/>
          <w:szCs w:val="18"/>
        </w:rPr>
        <w:t xml:space="preserve"> Ustawa z dnia 27 sierpnia 2009 r. o finansach publicznych (tekst jednolity: (Dz.U. z 2017 r. poz. 2077 ze zm.).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6"/>
    <w:multiLevelType w:val="multilevel"/>
    <w:tmpl w:val="2DFC713E"/>
    <w:lvl w:ilvl="0">
      <w:start w:val="1"/>
      <w:numFmt w:val="decimal"/>
      <w:lvlText w:val="%1."/>
      <w:lvlJc w:val="left"/>
      <w:pPr>
        <w:tabs>
          <w:tab w:val="num" w:pos="851"/>
        </w:tabs>
        <w:ind w:left="851" w:hanging="567"/>
      </w:pPr>
      <w:rPr>
        <w:b w:val="0"/>
        <w:bCs/>
        <w:i w:val="0"/>
        <w:spacing w:val="-3"/>
        <w:sz w:val="22"/>
        <w:szCs w:val="22"/>
        <w:lang w:val="pl-PL"/>
      </w:r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1670"/>
        </w:tabs>
        <w:ind w:left="502" w:hanging="360"/>
      </w:pPr>
      <w:rPr>
        <w:rFonts w:ascii="Times New Roman" w:hAnsi="Times New Roman" w:cs="Times New Roman" w:hint="default"/>
        <w:b w:val="0"/>
        <w:bCs/>
        <w:i w:val="0"/>
        <w:iCs/>
        <w:spacing w:val="-3"/>
        <w:sz w:val="22"/>
        <w:szCs w:val="22"/>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7"/>
    <w:multiLevelType w:val="multilevel"/>
    <w:tmpl w:val="ED9C3BE8"/>
    <w:name w:val="WW8Num7"/>
    <w:lvl w:ilvl="0">
      <w:start w:val="1"/>
      <w:numFmt w:val="decimal"/>
      <w:lvlText w:val="%1."/>
      <w:lvlJc w:val="left"/>
      <w:pPr>
        <w:tabs>
          <w:tab w:val="num" w:pos="587"/>
        </w:tabs>
        <w:ind w:left="567" w:hanging="340"/>
      </w:pPr>
      <w:rPr>
        <w:rFonts w:ascii="Times New Roman" w:hAnsi="Times New Roman" w:cs="Times New Roman" w:hint="default"/>
        <w:b w:val="0"/>
        <w:bCs w:val="0"/>
        <w:i w:val="0"/>
        <w:spacing w:val="-3"/>
        <w:sz w:val="22"/>
        <w:szCs w:val="22"/>
        <w:lang w:val="pl-PL"/>
      </w:rPr>
    </w:lvl>
    <w:lvl w:ilvl="1">
      <w:start w:val="1"/>
      <w:numFmt w:val="decimal"/>
      <w:lvlText w:val="%2)"/>
      <w:lvlJc w:val="left"/>
      <w:pPr>
        <w:ind w:left="1440" w:hanging="360"/>
      </w:pPr>
      <w:rPr>
        <w:b w:val="0"/>
        <w:bCs/>
      </w:rPr>
    </w:lvl>
    <w:lvl w:ilvl="2">
      <w:start w:val="1"/>
      <w:numFmt w:val="lowerLetter"/>
      <w:lvlText w:val="%3)"/>
      <w:lvlJc w:val="left"/>
      <w:pPr>
        <w:ind w:left="2340" w:hanging="360"/>
      </w:pPr>
    </w:lvl>
    <w:lvl w:ilvl="3">
      <w:start w:val="1"/>
      <w:numFmt w:val="decimal"/>
      <w:lvlText w:val="%4."/>
      <w:lvlJc w:val="left"/>
      <w:pPr>
        <w:tabs>
          <w:tab w:val="num" w:pos="2880"/>
        </w:tabs>
        <w:ind w:left="2880" w:hanging="360"/>
      </w:pPr>
      <w:rPr>
        <w:b/>
        <w:bCs/>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8"/>
    <w:multiLevelType w:val="multilevel"/>
    <w:tmpl w:val="67300F5E"/>
    <w:name w:val="WW8Num8"/>
    <w:lvl w:ilvl="0">
      <w:start w:val="1"/>
      <w:numFmt w:val="decimal"/>
      <w:lvlText w:val="%1."/>
      <w:lvlJc w:val="left"/>
      <w:pPr>
        <w:tabs>
          <w:tab w:val="num" w:pos="567"/>
        </w:tabs>
        <w:ind w:left="340" w:hanging="340"/>
      </w:pPr>
      <w:rPr>
        <w:b w:val="0"/>
        <w:bCs w:val="0"/>
        <w:i w:val="0"/>
        <w:color w:val="000000"/>
        <w:spacing w:val="-3"/>
        <w:sz w:val="22"/>
        <w:szCs w:val="22"/>
        <w:lang w:val="pl-PL"/>
      </w:rPr>
    </w:lvl>
    <w:lvl w:ilvl="1">
      <w:start w:val="1"/>
      <w:numFmt w:val="lowerLetter"/>
      <w:lvlText w:val="%2)"/>
      <w:lvlJc w:val="left"/>
      <w:pPr>
        <w:tabs>
          <w:tab w:val="num" w:pos="1440"/>
        </w:tabs>
        <w:ind w:left="1420" w:hanging="340"/>
      </w:pPr>
      <w:rPr>
        <w:rFonts w:ascii="Times New Roman" w:eastAsia="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spacing w:val="-3"/>
        <w:sz w:val="28"/>
        <w:szCs w:val="28"/>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E20063A"/>
    <w:multiLevelType w:val="multilevel"/>
    <w:tmpl w:val="2D4C1AAA"/>
    <w:lvl w:ilvl="0">
      <w:start w:val="1"/>
      <w:numFmt w:val="decimal"/>
      <w:lvlText w:val="%1."/>
      <w:lvlJc w:val="left"/>
      <w:pPr>
        <w:ind w:left="930" w:hanging="360"/>
      </w:pPr>
      <w:rPr>
        <w:b w:val="0"/>
        <w:i w:val="0"/>
        <w:sz w:val="22"/>
        <w:szCs w:val="22"/>
      </w:r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5" w15:restartNumberingAfterBreak="0">
    <w:nsid w:val="264F5672"/>
    <w:multiLevelType w:val="multilevel"/>
    <w:tmpl w:val="1ACAFBF0"/>
    <w:styleLink w:val="WWNum2"/>
    <w:lvl w:ilvl="0">
      <w:start w:val="1"/>
      <w:numFmt w:val="decimal"/>
      <w:lvlText w:val="%1."/>
      <w:lvlJc w:val="left"/>
      <w:pPr>
        <w:ind w:left="364" w:hanging="360"/>
      </w:pPr>
    </w:lvl>
    <w:lvl w:ilvl="1">
      <w:start w:val="1"/>
      <w:numFmt w:val="lowerLetter"/>
      <w:lvlText w:val="%2."/>
      <w:lvlJc w:val="left"/>
      <w:pPr>
        <w:ind w:left="1084" w:hanging="360"/>
      </w:pPr>
    </w:lvl>
    <w:lvl w:ilvl="2">
      <w:start w:val="1"/>
      <w:numFmt w:val="lowerRoman"/>
      <w:lvlText w:val="%1.%2.%3."/>
      <w:lvlJc w:val="right"/>
      <w:pPr>
        <w:ind w:left="1804" w:hanging="180"/>
      </w:pPr>
    </w:lvl>
    <w:lvl w:ilvl="3">
      <w:start w:val="1"/>
      <w:numFmt w:val="decimal"/>
      <w:lvlText w:val="%1.%2.%3.%4."/>
      <w:lvlJc w:val="left"/>
      <w:pPr>
        <w:ind w:left="2524" w:hanging="360"/>
      </w:pPr>
    </w:lvl>
    <w:lvl w:ilvl="4">
      <w:start w:val="1"/>
      <w:numFmt w:val="lowerLetter"/>
      <w:lvlText w:val="%1.%2.%3.%4.%5."/>
      <w:lvlJc w:val="left"/>
      <w:pPr>
        <w:ind w:left="3244" w:hanging="360"/>
      </w:pPr>
    </w:lvl>
    <w:lvl w:ilvl="5">
      <w:start w:val="1"/>
      <w:numFmt w:val="lowerRoman"/>
      <w:lvlText w:val="%1.%2.%3.%4.%5.%6."/>
      <w:lvlJc w:val="right"/>
      <w:pPr>
        <w:ind w:left="3964" w:hanging="180"/>
      </w:pPr>
    </w:lvl>
    <w:lvl w:ilvl="6">
      <w:start w:val="1"/>
      <w:numFmt w:val="decimal"/>
      <w:lvlText w:val="%1.%2.%3.%4.%5.%6.%7."/>
      <w:lvlJc w:val="left"/>
      <w:pPr>
        <w:ind w:left="4684" w:hanging="360"/>
      </w:pPr>
    </w:lvl>
    <w:lvl w:ilvl="7">
      <w:start w:val="1"/>
      <w:numFmt w:val="lowerLetter"/>
      <w:lvlText w:val="%1.%2.%3.%4.%5.%6.%7.%8."/>
      <w:lvlJc w:val="left"/>
      <w:pPr>
        <w:ind w:left="5404" w:hanging="360"/>
      </w:pPr>
    </w:lvl>
    <w:lvl w:ilvl="8">
      <w:start w:val="1"/>
      <w:numFmt w:val="lowerRoman"/>
      <w:lvlText w:val="%1.%2.%3.%4.%5.%6.%7.%8.%9."/>
      <w:lvlJc w:val="right"/>
      <w:pPr>
        <w:ind w:left="6124" w:hanging="180"/>
      </w:pPr>
    </w:lvl>
  </w:abstractNum>
  <w:abstractNum w:abstractNumId="6" w15:restartNumberingAfterBreak="0">
    <w:nsid w:val="4D0B606F"/>
    <w:multiLevelType w:val="hybridMultilevel"/>
    <w:tmpl w:val="B78AA83C"/>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75AE7142"/>
    <w:multiLevelType w:val="hybridMultilevel"/>
    <w:tmpl w:val="2BCED9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7B51210E"/>
    <w:multiLevelType w:val="hybridMultilevel"/>
    <w:tmpl w:val="F2F091EC"/>
    <w:lvl w:ilvl="0" w:tplc="8946D18C">
      <w:start w:val="1"/>
      <w:numFmt w:val="decimal"/>
      <w:lvlText w:val="%1)"/>
      <w:lvlJc w:val="left"/>
      <w:pPr>
        <w:ind w:left="720" w:hanging="360"/>
      </w:pPr>
      <w:rPr>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51176205">
    <w:abstractNumId w:val="0"/>
  </w:num>
  <w:num w:numId="2" w16cid:durableId="1718893650">
    <w:abstractNumId w:val="6"/>
  </w:num>
  <w:num w:numId="3" w16cid:durableId="1474835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2962157">
    <w:abstractNumId w:val="8"/>
  </w:num>
  <w:num w:numId="5" w16cid:durableId="312494500">
    <w:abstractNumId w:val="3"/>
  </w:num>
  <w:num w:numId="6" w16cid:durableId="2140566359">
    <w:abstractNumId w:val="2"/>
  </w:num>
  <w:num w:numId="7" w16cid:durableId="3801336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3421991">
    <w:abstractNumId w:val="1"/>
  </w:num>
  <w:num w:numId="9" w16cid:durableId="411969073">
    <w:abstractNumId w:val="5"/>
  </w:num>
  <w:num w:numId="10" w16cid:durableId="16811568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10678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00670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90004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448"/>
    <w:rsid w:val="00045F79"/>
    <w:rsid w:val="0009587F"/>
    <w:rsid w:val="002006A6"/>
    <w:rsid w:val="00203872"/>
    <w:rsid w:val="002D5900"/>
    <w:rsid w:val="00462C29"/>
    <w:rsid w:val="005A6FD7"/>
    <w:rsid w:val="005F0300"/>
    <w:rsid w:val="00607317"/>
    <w:rsid w:val="00671F7A"/>
    <w:rsid w:val="00775988"/>
    <w:rsid w:val="00806F1D"/>
    <w:rsid w:val="008A0BBC"/>
    <w:rsid w:val="009901A6"/>
    <w:rsid w:val="009B2538"/>
    <w:rsid w:val="009C6D2D"/>
    <w:rsid w:val="00A00C6F"/>
    <w:rsid w:val="00AB4DCC"/>
    <w:rsid w:val="00B13B47"/>
    <w:rsid w:val="00B62FD9"/>
    <w:rsid w:val="00BC747B"/>
    <w:rsid w:val="00BD37FE"/>
    <w:rsid w:val="00BF717E"/>
    <w:rsid w:val="00C27759"/>
    <w:rsid w:val="00CC44DD"/>
    <w:rsid w:val="00D24399"/>
    <w:rsid w:val="00D27341"/>
    <w:rsid w:val="00D47448"/>
    <w:rsid w:val="00EB1588"/>
    <w:rsid w:val="00F13BCD"/>
    <w:rsid w:val="00F944E6"/>
    <w:rsid w:val="00FD527E"/>
    <w:rsid w:val="00FD75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9BEB3"/>
  <w15:chartTrackingRefBased/>
  <w15:docId w15:val="{8BF3A592-A293-436C-B5DA-10A52899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7448"/>
    <w:pPr>
      <w:suppressAutoHyphens/>
      <w:spacing w:line="252" w:lineRule="auto"/>
    </w:pPr>
    <w:rPr>
      <w:rFonts w:ascii="Calibri" w:eastAsia="Calibri" w:hAnsi="Calibri" w:cs="Times New Roman"/>
      <w:kern w:val="1"/>
      <w:lang w:eastAsia="ar-SA"/>
    </w:rPr>
  </w:style>
  <w:style w:type="paragraph" w:styleId="Nagwek1">
    <w:name w:val="heading 1"/>
    <w:basedOn w:val="Normalny"/>
    <w:next w:val="Tekstpodstawowy"/>
    <w:link w:val="Nagwek1Znak"/>
    <w:uiPriority w:val="99"/>
    <w:qFormat/>
    <w:rsid w:val="00203872"/>
    <w:pPr>
      <w:keepNext/>
      <w:widowControl w:val="0"/>
      <w:spacing w:before="240" w:after="60" w:line="240" w:lineRule="auto"/>
      <w:outlineLvl w:val="0"/>
    </w:pPr>
    <w:rPr>
      <w:rFonts w:ascii="Cambria" w:eastAsia="Times New Roman" w:hAnsi="Cambria" w:cs="Arial"/>
      <w:b/>
      <w:bCs/>
      <w:sz w:val="32"/>
      <w:szCs w:val="32"/>
      <w:lang w:val="x-none" w:eastAsia="hi-I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D47448"/>
    <w:pPr>
      <w:ind w:left="720"/>
    </w:pPr>
  </w:style>
  <w:style w:type="paragraph" w:styleId="Akapitzlist">
    <w:name w:val="List Paragraph"/>
    <w:basedOn w:val="Normalny"/>
    <w:link w:val="AkapitzlistZnak"/>
    <w:qFormat/>
    <w:rsid w:val="00D47448"/>
    <w:pPr>
      <w:suppressAutoHyphens w:val="0"/>
      <w:spacing w:line="256" w:lineRule="auto"/>
      <w:ind w:left="720"/>
      <w:contextualSpacing/>
    </w:pPr>
    <w:rPr>
      <w:kern w:val="2"/>
      <w:lang w:eastAsia="en-US"/>
    </w:rPr>
  </w:style>
  <w:style w:type="character" w:customStyle="1" w:styleId="Nagwek1Znak">
    <w:name w:val="Nagłówek 1 Znak"/>
    <w:basedOn w:val="Domylnaczcionkaakapitu"/>
    <w:link w:val="Nagwek1"/>
    <w:uiPriority w:val="99"/>
    <w:rsid w:val="00203872"/>
    <w:rPr>
      <w:rFonts w:ascii="Cambria" w:eastAsia="Times New Roman" w:hAnsi="Cambria" w:cs="Arial"/>
      <w:b/>
      <w:bCs/>
      <w:kern w:val="1"/>
      <w:sz w:val="32"/>
      <w:szCs w:val="32"/>
      <w:lang w:val="x-none" w:eastAsia="hi-IN" w:bidi="hi-IN"/>
      <w14:ligatures w14:val="none"/>
    </w:rPr>
  </w:style>
  <w:style w:type="paragraph" w:styleId="Tekstpodstawowy">
    <w:name w:val="Body Text"/>
    <w:basedOn w:val="Normalny"/>
    <w:link w:val="TekstpodstawowyZnak"/>
    <w:uiPriority w:val="99"/>
    <w:unhideWhenUsed/>
    <w:rsid w:val="00203872"/>
    <w:pPr>
      <w:spacing w:after="120"/>
    </w:pPr>
  </w:style>
  <w:style w:type="character" w:customStyle="1" w:styleId="TekstpodstawowyZnak">
    <w:name w:val="Tekst podstawowy Znak"/>
    <w:basedOn w:val="Domylnaczcionkaakapitu"/>
    <w:link w:val="Tekstpodstawowy"/>
    <w:uiPriority w:val="99"/>
    <w:rsid w:val="00203872"/>
    <w:rPr>
      <w:rFonts w:ascii="Calibri" w:eastAsia="Calibri" w:hAnsi="Calibri" w:cs="Times New Roman"/>
      <w:kern w:val="1"/>
      <w:lang w:eastAsia="ar-SA"/>
    </w:rPr>
  </w:style>
  <w:style w:type="paragraph" w:styleId="Tekstpodstawowywcity">
    <w:name w:val="Body Text Indent"/>
    <w:basedOn w:val="Normalny"/>
    <w:link w:val="TekstpodstawowywcityZnak"/>
    <w:uiPriority w:val="99"/>
    <w:semiHidden/>
    <w:unhideWhenUsed/>
    <w:rsid w:val="00D27341"/>
    <w:pPr>
      <w:suppressAutoHyphens w:val="0"/>
      <w:spacing w:after="120" w:line="240" w:lineRule="auto"/>
      <w:ind w:left="283"/>
    </w:pPr>
    <w:rPr>
      <w:rFonts w:eastAsiaTheme="minorHAnsi" w:cs="Calibri"/>
      <w:kern w:val="0"/>
      <w:lang w:eastAsia="en-US"/>
      <w14:ligatures w14:val="none"/>
    </w:rPr>
  </w:style>
  <w:style w:type="character" w:customStyle="1" w:styleId="TekstpodstawowywcityZnak">
    <w:name w:val="Tekst podstawowy wcięty Znak"/>
    <w:basedOn w:val="Domylnaczcionkaakapitu"/>
    <w:link w:val="Tekstpodstawowywcity"/>
    <w:uiPriority w:val="99"/>
    <w:semiHidden/>
    <w:rsid w:val="00D27341"/>
    <w:rPr>
      <w:rFonts w:ascii="Calibri" w:hAnsi="Calibri" w:cs="Calibri"/>
      <w:kern w:val="0"/>
      <w14:ligatures w14:val="none"/>
    </w:rPr>
  </w:style>
  <w:style w:type="paragraph" w:customStyle="1" w:styleId="Default">
    <w:name w:val="Default"/>
    <w:rsid w:val="00D27341"/>
    <w:pPr>
      <w:autoSpaceDE w:val="0"/>
      <w:autoSpaceDN w:val="0"/>
      <w:adjustRightInd w:val="0"/>
      <w:spacing w:after="0" w:line="240" w:lineRule="auto"/>
    </w:pPr>
    <w:rPr>
      <w:rFonts w:ascii="Tahoma" w:hAnsi="Tahoma" w:cs="Tahoma"/>
      <w:color w:val="000000"/>
      <w:kern w:val="0"/>
      <w:sz w:val="24"/>
      <w:szCs w:val="24"/>
      <w14:ligatures w14:val="none"/>
    </w:rPr>
  </w:style>
  <w:style w:type="paragraph" w:customStyle="1" w:styleId="NumContHalf">
    <w:name w:val="NumContHalf"/>
    <w:basedOn w:val="Tekstpodstawowy"/>
    <w:rsid w:val="00D27341"/>
    <w:pPr>
      <w:tabs>
        <w:tab w:val="left" w:pos="2200"/>
      </w:tabs>
      <w:suppressAutoHyphens w:val="0"/>
      <w:autoSpaceDE w:val="0"/>
      <w:autoSpaceDN w:val="0"/>
      <w:spacing w:after="240" w:line="240" w:lineRule="auto"/>
      <w:ind w:firstLine="720"/>
      <w:jc w:val="both"/>
    </w:pPr>
    <w:rPr>
      <w:rFonts w:ascii="MS Mincho" w:eastAsia="MS Mincho" w:hAnsi="Times New Roman"/>
      <w:kern w:val="0"/>
      <w:sz w:val="24"/>
      <w:szCs w:val="24"/>
      <w:lang w:eastAsia="pl-PL" w:bidi="pl-PL"/>
      <w14:ligatures w14:val="none"/>
    </w:rPr>
  </w:style>
  <w:style w:type="character" w:customStyle="1" w:styleId="DeltaViewInsertion">
    <w:name w:val="DeltaView Insertion"/>
    <w:rsid w:val="00D27341"/>
    <w:rPr>
      <w:b/>
      <w:bCs/>
      <w:color w:val="0000FF"/>
      <w:spacing w:val="0"/>
      <w:u w:val="double"/>
    </w:rPr>
  </w:style>
  <w:style w:type="character" w:customStyle="1" w:styleId="AkapitzlistZnak">
    <w:name w:val="Akapit z listą Znak"/>
    <w:link w:val="Akapitzlist"/>
    <w:uiPriority w:val="34"/>
    <w:qFormat/>
    <w:locked/>
    <w:rsid w:val="00AB4DCC"/>
    <w:rPr>
      <w:rFonts w:ascii="Calibri" w:eastAsia="Calibri" w:hAnsi="Calibri" w:cs="Times New Roman"/>
    </w:rPr>
  </w:style>
  <w:style w:type="character" w:styleId="Hipercze">
    <w:name w:val="Hyperlink"/>
    <w:semiHidden/>
    <w:unhideWhenUsed/>
    <w:rsid w:val="00607317"/>
    <w:rPr>
      <w:color w:val="0000FF"/>
      <w:u w:val="single"/>
    </w:rPr>
  </w:style>
  <w:style w:type="character" w:customStyle="1" w:styleId="TekstprzypisudolnegoZnak">
    <w:name w:val="Tekst przypisu dolnego Znak"/>
    <w:aliases w:val="Tekst przypisu dolnego-poligrafia Znak"/>
    <w:basedOn w:val="Domylnaczcionkaakapitu"/>
    <w:link w:val="Tekstprzypisudolnego"/>
    <w:uiPriority w:val="99"/>
    <w:semiHidden/>
    <w:locked/>
    <w:rsid w:val="00607317"/>
    <w:rPr>
      <w:rFonts w:ascii="Times New Roman" w:eastAsia="Times New Roman" w:hAnsi="Times New Roman" w:cs="Times New Roman"/>
      <w:sz w:val="20"/>
      <w:szCs w:val="20"/>
      <w:lang w:eastAsia="ar-SA"/>
    </w:rPr>
  </w:style>
  <w:style w:type="paragraph" w:styleId="Tekstprzypisudolnego">
    <w:name w:val="footnote text"/>
    <w:aliases w:val="Tekst przypisu dolnego-poligrafia"/>
    <w:basedOn w:val="Normalny"/>
    <w:link w:val="TekstprzypisudolnegoZnak"/>
    <w:uiPriority w:val="99"/>
    <w:semiHidden/>
    <w:unhideWhenUsed/>
    <w:rsid w:val="00607317"/>
    <w:pPr>
      <w:spacing w:after="0" w:line="240" w:lineRule="auto"/>
    </w:pPr>
    <w:rPr>
      <w:rFonts w:ascii="Times New Roman" w:eastAsia="Times New Roman" w:hAnsi="Times New Roman"/>
      <w:kern w:val="2"/>
      <w:sz w:val="20"/>
      <w:szCs w:val="20"/>
    </w:rPr>
  </w:style>
  <w:style w:type="character" w:customStyle="1" w:styleId="TekstprzypisudolnegoZnak1">
    <w:name w:val="Tekst przypisu dolnego Znak1"/>
    <w:basedOn w:val="Domylnaczcionkaakapitu"/>
    <w:uiPriority w:val="99"/>
    <w:semiHidden/>
    <w:rsid w:val="00607317"/>
    <w:rPr>
      <w:rFonts w:ascii="Calibri" w:eastAsia="Calibri" w:hAnsi="Calibri" w:cs="Times New Roman"/>
      <w:kern w:val="1"/>
      <w:sz w:val="20"/>
      <w:szCs w:val="20"/>
      <w:lang w:eastAsia="ar-SA"/>
    </w:rPr>
  </w:style>
  <w:style w:type="paragraph" w:customStyle="1" w:styleId="Normal1">
    <w:name w:val="Normal1"/>
    <w:uiPriority w:val="99"/>
    <w:rsid w:val="00607317"/>
    <w:pPr>
      <w:spacing w:before="120" w:after="120" w:line="288" w:lineRule="auto"/>
      <w:jc w:val="both"/>
    </w:pPr>
    <w:rPr>
      <w:rFonts w:ascii="Calibri" w:eastAsia="Calibri" w:hAnsi="Calibri" w:cs="Times New Roman"/>
      <w:color w:val="000000"/>
      <w:kern w:val="0"/>
      <w14:ligatures w14:val="none"/>
    </w:rPr>
  </w:style>
  <w:style w:type="character" w:styleId="Odwoanieprzypisudolnego">
    <w:name w:val="footnote reference"/>
    <w:basedOn w:val="Domylnaczcionkaakapitu"/>
    <w:uiPriority w:val="99"/>
    <w:semiHidden/>
    <w:unhideWhenUsed/>
    <w:rsid w:val="00607317"/>
    <w:rPr>
      <w:vertAlign w:val="superscript"/>
    </w:rPr>
  </w:style>
  <w:style w:type="paragraph" w:customStyle="1" w:styleId="Standard">
    <w:name w:val="Standard"/>
    <w:rsid w:val="00607317"/>
    <w:pPr>
      <w:widowControl w:val="0"/>
      <w:suppressAutoHyphens/>
      <w:autoSpaceDN w:val="0"/>
      <w:spacing w:after="0" w:line="240" w:lineRule="auto"/>
    </w:pPr>
    <w:rPr>
      <w:rFonts w:ascii="Times New Roman" w:eastAsia="SimSun" w:hAnsi="Times New Roman" w:cs="Arial"/>
      <w:kern w:val="3"/>
      <w:sz w:val="24"/>
      <w:szCs w:val="24"/>
      <w:lang w:eastAsia="zh-CN" w:bidi="hi-IN"/>
      <w14:ligatures w14:val="none"/>
    </w:rPr>
  </w:style>
  <w:style w:type="numbering" w:customStyle="1" w:styleId="WWNum2">
    <w:name w:val="WWNum2"/>
    <w:rsid w:val="00607317"/>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67548">
      <w:bodyDiv w:val="1"/>
      <w:marLeft w:val="0"/>
      <w:marRight w:val="0"/>
      <w:marTop w:val="0"/>
      <w:marBottom w:val="0"/>
      <w:divBdr>
        <w:top w:val="none" w:sz="0" w:space="0" w:color="auto"/>
        <w:left w:val="none" w:sz="0" w:space="0" w:color="auto"/>
        <w:bottom w:val="none" w:sz="0" w:space="0" w:color="auto"/>
        <w:right w:val="none" w:sz="0" w:space="0" w:color="auto"/>
      </w:divBdr>
    </w:div>
    <w:div w:id="171192242">
      <w:bodyDiv w:val="1"/>
      <w:marLeft w:val="0"/>
      <w:marRight w:val="0"/>
      <w:marTop w:val="0"/>
      <w:marBottom w:val="0"/>
      <w:divBdr>
        <w:top w:val="none" w:sz="0" w:space="0" w:color="auto"/>
        <w:left w:val="none" w:sz="0" w:space="0" w:color="auto"/>
        <w:bottom w:val="none" w:sz="0" w:space="0" w:color="auto"/>
        <w:right w:val="none" w:sz="0" w:space="0" w:color="auto"/>
      </w:divBdr>
    </w:div>
    <w:div w:id="308756412">
      <w:bodyDiv w:val="1"/>
      <w:marLeft w:val="0"/>
      <w:marRight w:val="0"/>
      <w:marTop w:val="0"/>
      <w:marBottom w:val="0"/>
      <w:divBdr>
        <w:top w:val="none" w:sz="0" w:space="0" w:color="auto"/>
        <w:left w:val="none" w:sz="0" w:space="0" w:color="auto"/>
        <w:bottom w:val="none" w:sz="0" w:space="0" w:color="auto"/>
        <w:right w:val="none" w:sz="0" w:space="0" w:color="auto"/>
      </w:divBdr>
    </w:div>
    <w:div w:id="978270181">
      <w:bodyDiv w:val="1"/>
      <w:marLeft w:val="0"/>
      <w:marRight w:val="0"/>
      <w:marTop w:val="0"/>
      <w:marBottom w:val="0"/>
      <w:divBdr>
        <w:top w:val="none" w:sz="0" w:space="0" w:color="auto"/>
        <w:left w:val="none" w:sz="0" w:space="0" w:color="auto"/>
        <w:bottom w:val="none" w:sz="0" w:space="0" w:color="auto"/>
        <w:right w:val="none" w:sz="0" w:space="0" w:color="auto"/>
      </w:divBdr>
    </w:div>
    <w:div w:id="1149126822">
      <w:bodyDiv w:val="1"/>
      <w:marLeft w:val="0"/>
      <w:marRight w:val="0"/>
      <w:marTop w:val="0"/>
      <w:marBottom w:val="0"/>
      <w:divBdr>
        <w:top w:val="none" w:sz="0" w:space="0" w:color="auto"/>
        <w:left w:val="none" w:sz="0" w:space="0" w:color="auto"/>
        <w:bottom w:val="none" w:sz="0" w:space="0" w:color="auto"/>
        <w:right w:val="none" w:sz="0" w:space="0" w:color="auto"/>
      </w:divBdr>
    </w:div>
    <w:div w:id="1225138056">
      <w:bodyDiv w:val="1"/>
      <w:marLeft w:val="0"/>
      <w:marRight w:val="0"/>
      <w:marTop w:val="0"/>
      <w:marBottom w:val="0"/>
      <w:divBdr>
        <w:top w:val="none" w:sz="0" w:space="0" w:color="auto"/>
        <w:left w:val="none" w:sz="0" w:space="0" w:color="auto"/>
        <w:bottom w:val="none" w:sz="0" w:space="0" w:color="auto"/>
        <w:right w:val="none" w:sz="0" w:space="0" w:color="auto"/>
      </w:divBdr>
    </w:div>
    <w:div w:id="144757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zp.gov.pl/__data/assets/pdf_file/0025/27574/Rekomendacje_UZP20ws._zamowiec584_na_systemy_informatyczne.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B171F-2998-4561-B8B2-C740AC8A4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2539</Words>
  <Characters>15237</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U012</dc:creator>
  <cp:keywords/>
  <dc:description/>
  <cp:lastModifiedBy>U181</cp:lastModifiedBy>
  <cp:revision>5</cp:revision>
  <cp:lastPrinted>2024-06-06T07:32:00Z</cp:lastPrinted>
  <dcterms:created xsi:type="dcterms:W3CDTF">2024-06-17T15:12:00Z</dcterms:created>
  <dcterms:modified xsi:type="dcterms:W3CDTF">2024-06-17T15:53:00Z</dcterms:modified>
</cp:coreProperties>
</file>