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D4C9" w14:textId="2FE9C9AE" w:rsidR="0066544C" w:rsidRPr="005510F1" w:rsidRDefault="0066544C" w:rsidP="0066544C">
      <w:pPr>
        <w:spacing w:after="0" w:line="240" w:lineRule="auto"/>
        <w:jc w:val="right"/>
        <w:rPr>
          <w:rFonts w:ascii="Sylfaen" w:hAnsi="Sylfaen"/>
        </w:rPr>
      </w:pPr>
      <w:r w:rsidRPr="005510F1">
        <w:rPr>
          <w:rFonts w:ascii="Sylfaen" w:hAnsi="Sylfaen"/>
        </w:rPr>
        <w:t xml:space="preserve">Toruń, dn. </w:t>
      </w:r>
      <w:r>
        <w:rPr>
          <w:rFonts w:ascii="Sylfaen" w:hAnsi="Sylfaen"/>
        </w:rPr>
        <w:t>13</w:t>
      </w:r>
      <w:r w:rsidRPr="005510F1">
        <w:rPr>
          <w:rFonts w:ascii="Sylfaen" w:hAnsi="Sylfaen"/>
        </w:rPr>
        <w:t>.02.2024 r.</w:t>
      </w:r>
    </w:p>
    <w:p w14:paraId="7E790DA4" w14:textId="77777777" w:rsidR="0066544C" w:rsidRPr="005510F1" w:rsidRDefault="0066544C" w:rsidP="0066544C">
      <w:pPr>
        <w:spacing w:after="0" w:line="240" w:lineRule="auto"/>
        <w:rPr>
          <w:rFonts w:ascii="Sylfaen" w:hAnsi="Sylfaen"/>
        </w:rPr>
      </w:pPr>
    </w:p>
    <w:p w14:paraId="050D38A1" w14:textId="77777777" w:rsidR="0066544C" w:rsidRPr="005510F1" w:rsidRDefault="0066544C" w:rsidP="0066544C">
      <w:pPr>
        <w:spacing w:after="0" w:line="240" w:lineRule="auto"/>
        <w:rPr>
          <w:rFonts w:ascii="Sylfaen" w:hAnsi="Sylfaen"/>
        </w:rPr>
      </w:pPr>
      <w:r w:rsidRPr="005510F1">
        <w:rPr>
          <w:rFonts w:ascii="Sylfaen" w:hAnsi="Sylfaen"/>
        </w:rPr>
        <w:t>L.dz. SSM.DZP.200.12.2024</w:t>
      </w:r>
    </w:p>
    <w:p w14:paraId="67422944" w14:textId="77777777" w:rsidR="0066544C" w:rsidRPr="005510F1" w:rsidRDefault="0066544C" w:rsidP="0066544C">
      <w:pPr>
        <w:spacing w:after="0" w:line="240" w:lineRule="auto"/>
        <w:jc w:val="both"/>
        <w:rPr>
          <w:rFonts w:ascii="Sylfaen" w:hAnsi="Sylfaen"/>
        </w:rPr>
      </w:pPr>
    </w:p>
    <w:p w14:paraId="7035F90E" w14:textId="77777777" w:rsidR="0066544C" w:rsidRPr="005510F1" w:rsidRDefault="0066544C" w:rsidP="0066544C">
      <w:pPr>
        <w:spacing w:after="0" w:line="240" w:lineRule="auto"/>
        <w:jc w:val="both"/>
        <w:rPr>
          <w:rFonts w:ascii="Sylfaen" w:hAnsi="Sylfaen"/>
        </w:rPr>
      </w:pPr>
      <w:r w:rsidRPr="005510F1">
        <w:rPr>
          <w:rFonts w:ascii="Sylfaen" w:hAnsi="Sylfaen"/>
        </w:rPr>
        <w:t>dotyczy: postępowania o udzielenie zamówienia publiczne w trybie podstawowym na „</w:t>
      </w:r>
      <w:bookmarkStart w:id="0" w:name="_Hlk156290984"/>
      <w:r w:rsidRPr="005510F1">
        <w:rPr>
          <w:rFonts w:ascii="Sylfaen" w:hAnsi="Sylfaen"/>
        </w:rPr>
        <w:t xml:space="preserve">Dostawę </w:t>
      </w:r>
      <w:bookmarkEnd w:id="0"/>
      <w:r w:rsidRPr="005510F1">
        <w:rPr>
          <w:rFonts w:ascii="Sylfaen" w:hAnsi="Sylfaen"/>
        </w:rPr>
        <w:t>endoprotez stawu biodrowego”.</w:t>
      </w:r>
    </w:p>
    <w:p w14:paraId="66AAC833" w14:textId="77777777" w:rsidR="0066544C" w:rsidRPr="005510F1" w:rsidRDefault="0066544C" w:rsidP="0066544C">
      <w:pPr>
        <w:spacing w:after="0" w:line="240" w:lineRule="auto"/>
        <w:jc w:val="both"/>
        <w:rPr>
          <w:rFonts w:ascii="Sylfaen" w:hAnsi="Sylfaen"/>
        </w:rPr>
      </w:pPr>
    </w:p>
    <w:p w14:paraId="40CF2AF0" w14:textId="77777777" w:rsidR="0066544C" w:rsidRPr="005510F1" w:rsidRDefault="0066544C" w:rsidP="0066544C">
      <w:pPr>
        <w:pStyle w:val="Akapitzlist"/>
        <w:spacing w:after="0" w:line="240" w:lineRule="auto"/>
        <w:ind w:left="0" w:firstLine="708"/>
        <w:jc w:val="both"/>
        <w:rPr>
          <w:rFonts w:ascii="Sylfaen" w:hAnsi="Sylfaen"/>
        </w:rPr>
      </w:pPr>
      <w:r w:rsidRPr="005510F1">
        <w:rPr>
          <w:rFonts w:ascii="Sylfaen" w:hAnsi="Sylfaen"/>
        </w:rPr>
        <w:t>Na podstawie art. 286 ust. 1 ustawy z dnia 11 września 2019 r. Prawo zamówień publicznych (</w:t>
      </w:r>
      <w:proofErr w:type="spellStart"/>
      <w:r w:rsidRPr="005510F1">
        <w:rPr>
          <w:rFonts w:ascii="Sylfaen" w:hAnsi="Sylfaen"/>
        </w:rPr>
        <w:t>t.j</w:t>
      </w:r>
      <w:proofErr w:type="spellEnd"/>
      <w:r w:rsidRPr="005510F1">
        <w:rPr>
          <w:rFonts w:ascii="Sylfaen" w:hAnsi="Sylfaen"/>
        </w:rPr>
        <w:t>. Dz. U. z 2023 r., poz. 1605 ze zm.) Zamawiający modyfikuje treść SWZ w taki sposób, że:</w:t>
      </w:r>
    </w:p>
    <w:p w14:paraId="41B57FA6" w14:textId="3C63B5F9" w:rsidR="00D53536" w:rsidRPr="00D53536" w:rsidRDefault="00D53536" w:rsidP="0062247B">
      <w:pPr>
        <w:pStyle w:val="Akapitzlist"/>
        <w:numPr>
          <w:ilvl w:val="3"/>
          <w:numId w:val="5"/>
        </w:numPr>
        <w:spacing w:after="0" w:line="240" w:lineRule="auto"/>
        <w:ind w:left="357" w:hanging="357"/>
        <w:jc w:val="both"/>
        <w:rPr>
          <w:rFonts w:ascii="Sylfaen" w:eastAsiaTheme="minorHAnsi" w:hAnsi="Sylfaen" w:cstheme="minorBidi"/>
          <w:lang w:val="x-none"/>
        </w:rPr>
      </w:pPr>
      <w:r w:rsidRPr="004D2807">
        <w:rPr>
          <w:rFonts w:ascii="Sylfaen" w:eastAsiaTheme="minorHAnsi" w:hAnsi="Sylfaen" w:cstheme="minorBidi"/>
        </w:rPr>
        <w:t xml:space="preserve">w Rozdziale 14 – „Podmiotowe środki dowodowe” w ust. 14.1.3 „Przedmiotowe środki dowodowe” wykreśla się dotychczasowy zapis </w:t>
      </w:r>
      <w:r w:rsidR="0062247B">
        <w:rPr>
          <w:rFonts w:ascii="Sylfaen" w:eastAsiaTheme="minorHAnsi" w:hAnsi="Sylfaen" w:cstheme="minorBidi"/>
        </w:rPr>
        <w:t xml:space="preserve">pkt 1 </w:t>
      </w:r>
      <w:r w:rsidRPr="004D2807">
        <w:rPr>
          <w:rFonts w:ascii="Sylfaen" w:eastAsiaTheme="minorHAnsi" w:hAnsi="Sylfaen" w:cstheme="minorBidi"/>
        </w:rPr>
        <w:t>o następującej treści</w:t>
      </w:r>
      <w:r>
        <w:rPr>
          <w:rFonts w:ascii="Sylfaen" w:eastAsiaTheme="minorHAnsi" w:hAnsi="Sylfaen" w:cstheme="minorBidi"/>
        </w:rPr>
        <w:t xml:space="preserve">: </w:t>
      </w:r>
    </w:p>
    <w:p w14:paraId="686CD72D" w14:textId="28F047BB" w:rsidR="00D53536" w:rsidRPr="00D53536" w:rsidRDefault="00D53536" w:rsidP="0062247B">
      <w:pPr>
        <w:pStyle w:val="Akapitzlist"/>
        <w:numPr>
          <w:ilvl w:val="0"/>
          <w:numId w:val="7"/>
        </w:numPr>
        <w:jc w:val="both"/>
        <w:rPr>
          <w:rFonts w:ascii="Sylfaen" w:eastAsiaTheme="minorHAnsi" w:hAnsi="Sylfaen" w:cstheme="minorBidi"/>
        </w:rPr>
      </w:pPr>
      <w:r w:rsidRPr="00D53536">
        <w:rPr>
          <w:rFonts w:ascii="Sylfaen" w:eastAsiaTheme="minorHAnsi" w:hAnsi="Sylfaen" w:cstheme="minorBidi"/>
        </w:rPr>
        <w:t>W celu potwierdzenia zgodności oferowanych dostaw z wymaganymi cechami opisanymi w SWZ i załącznikach do SWZ Zamawiający wymaga złożenia wraz z ofertą:</w:t>
      </w:r>
    </w:p>
    <w:p w14:paraId="3287C4B9" w14:textId="77777777" w:rsidR="00D53536" w:rsidRPr="00D53536" w:rsidRDefault="00D53536" w:rsidP="0062247B">
      <w:pPr>
        <w:pStyle w:val="Akapitzlist"/>
        <w:numPr>
          <w:ilvl w:val="0"/>
          <w:numId w:val="6"/>
        </w:numPr>
        <w:jc w:val="both"/>
        <w:rPr>
          <w:rFonts w:ascii="Sylfaen" w:eastAsiaTheme="minorHAnsi" w:hAnsi="Sylfaen" w:cstheme="minorBidi"/>
          <w:b/>
          <w:bCs/>
        </w:rPr>
      </w:pPr>
      <w:r w:rsidRPr="00D53536">
        <w:rPr>
          <w:rFonts w:ascii="Sylfaen" w:eastAsiaTheme="minorHAnsi" w:hAnsi="Sylfaen" w:cstheme="minorBidi"/>
        </w:rPr>
        <w:t>opisów bądź folderów, bądź ulotek, bądź kart katalogowych z opisem produktu oraz wyszczególnieniem numerów katalogowych, a także danych technicznych potwierdzających wymogi, zgodnie z załącznikiem nr 1 do SWZ</w:t>
      </w:r>
      <w:r w:rsidRPr="00D53536">
        <w:rPr>
          <w:rFonts w:ascii="Sylfaen" w:eastAsiaTheme="minorHAnsi" w:hAnsi="Sylfaen" w:cstheme="minorBidi"/>
          <w:b/>
          <w:bCs/>
        </w:rPr>
        <w:t xml:space="preserve">. </w:t>
      </w:r>
    </w:p>
    <w:p w14:paraId="1D92ABD9" w14:textId="77777777" w:rsidR="00D53536" w:rsidRPr="00D53536" w:rsidRDefault="00D53536" w:rsidP="0062247B">
      <w:pPr>
        <w:pStyle w:val="Akapitzlist"/>
        <w:numPr>
          <w:ilvl w:val="0"/>
          <w:numId w:val="6"/>
        </w:numPr>
        <w:jc w:val="both"/>
        <w:rPr>
          <w:rFonts w:ascii="Sylfaen" w:eastAsiaTheme="minorHAnsi" w:hAnsi="Sylfaen" w:cstheme="minorBidi"/>
        </w:rPr>
      </w:pPr>
      <w:r w:rsidRPr="00D53536">
        <w:rPr>
          <w:rFonts w:ascii="Sylfaen" w:eastAsiaTheme="minorHAnsi" w:hAnsi="Sylfaen" w:cstheme="minorBidi"/>
        </w:rPr>
        <w:t xml:space="preserve"> szczegółowe dokumenty i oświadczenia o rodzaju materiałów oraz dokładnego składu (min, zawartości pierwiastków) z jakiego są wykonane poszczególne elementy oferowanych implantów – produktu.</w:t>
      </w:r>
    </w:p>
    <w:p w14:paraId="1ED777FB" w14:textId="77777777" w:rsidR="00D53536" w:rsidRPr="00D53536" w:rsidRDefault="00D53536" w:rsidP="0062247B">
      <w:pPr>
        <w:pStyle w:val="Akapitzlist"/>
        <w:numPr>
          <w:ilvl w:val="0"/>
          <w:numId w:val="6"/>
        </w:numPr>
        <w:jc w:val="both"/>
        <w:rPr>
          <w:rFonts w:ascii="Sylfaen" w:eastAsiaTheme="minorHAnsi" w:hAnsi="Sylfaen" w:cstheme="minorBidi"/>
        </w:rPr>
      </w:pPr>
      <w:r w:rsidRPr="00D53536">
        <w:rPr>
          <w:rFonts w:ascii="Sylfaen" w:eastAsiaTheme="minorHAnsi" w:hAnsi="Sylfaen" w:cstheme="minorBidi"/>
        </w:rPr>
        <w:t>badania kliniczne potwierdzające 3-letnią przeżywalność elementów endoprotez na poziomie powyżej 95%.</w:t>
      </w:r>
    </w:p>
    <w:p w14:paraId="4B228AFC" w14:textId="77777777" w:rsidR="00D53536" w:rsidRDefault="00D53536" w:rsidP="0062247B">
      <w:pPr>
        <w:pStyle w:val="Akapitzlist"/>
        <w:numPr>
          <w:ilvl w:val="0"/>
          <w:numId w:val="6"/>
        </w:numPr>
        <w:jc w:val="both"/>
        <w:rPr>
          <w:rFonts w:ascii="Sylfaen" w:eastAsiaTheme="minorHAnsi" w:hAnsi="Sylfaen" w:cstheme="minorBidi"/>
        </w:rPr>
      </w:pPr>
      <w:r w:rsidRPr="00D53536">
        <w:rPr>
          <w:rFonts w:ascii="Sylfaen" w:eastAsiaTheme="minorHAnsi" w:hAnsi="Sylfaen" w:cstheme="minorBidi"/>
        </w:rPr>
        <w:t>w przypadku pozytywnej deklaracji dot. wykonywania badania NMR po implantacji zaoferowanego produktu, dokładna dokumentacja w języku polskim w zakresie parametrów/wymagań/warunków przeprowadzania badania NMR dla zaoferowanych produktów.</w:t>
      </w:r>
    </w:p>
    <w:p w14:paraId="7EC867AD" w14:textId="77777777" w:rsidR="0062247B" w:rsidRPr="00D53536" w:rsidRDefault="0062247B" w:rsidP="0062247B">
      <w:pPr>
        <w:pStyle w:val="Akapitzlist"/>
        <w:ind w:left="616"/>
        <w:rPr>
          <w:rFonts w:ascii="Sylfaen" w:eastAsiaTheme="minorHAnsi" w:hAnsi="Sylfaen" w:cstheme="minorBidi"/>
        </w:rPr>
      </w:pPr>
    </w:p>
    <w:p w14:paraId="431CB0EB" w14:textId="77777777" w:rsidR="0062247B" w:rsidRDefault="0062247B" w:rsidP="001946D0">
      <w:pPr>
        <w:pStyle w:val="Akapitzlist"/>
        <w:spacing w:line="240" w:lineRule="auto"/>
        <w:rPr>
          <w:rFonts w:ascii="Sylfaen" w:eastAsiaTheme="minorHAnsi" w:hAnsi="Sylfaen" w:cstheme="minorBidi"/>
        </w:rPr>
      </w:pPr>
      <w:r w:rsidRPr="0062247B">
        <w:rPr>
          <w:rFonts w:ascii="Sylfaen" w:eastAsiaTheme="minorHAnsi" w:hAnsi="Sylfaen" w:cstheme="minorBidi"/>
        </w:rPr>
        <w:t>a w miejsce wykreślonego zapisu wprowadza nowy zapis o następującej treści:</w:t>
      </w:r>
    </w:p>
    <w:p w14:paraId="1DD58643" w14:textId="77777777" w:rsidR="0062247B" w:rsidRPr="0062247B" w:rsidRDefault="0062247B" w:rsidP="0062247B">
      <w:pPr>
        <w:pStyle w:val="Akapitzlist"/>
        <w:spacing w:line="240" w:lineRule="auto"/>
        <w:rPr>
          <w:rFonts w:ascii="Sylfaen" w:eastAsiaTheme="minorHAnsi" w:hAnsi="Sylfaen" w:cstheme="minorBidi"/>
        </w:rPr>
      </w:pPr>
    </w:p>
    <w:p w14:paraId="1CFD7E7E" w14:textId="77777777" w:rsidR="0062247B" w:rsidRPr="0062247B" w:rsidRDefault="0062247B" w:rsidP="0062247B">
      <w:pPr>
        <w:pStyle w:val="Akapitzlist"/>
        <w:spacing w:after="0" w:line="240" w:lineRule="auto"/>
        <w:ind w:left="357"/>
        <w:jc w:val="both"/>
        <w:rPr>
          <w:rFonts w:ascii="Sylfaen" w:eastAsiaTheme="minorHAnsi" w:hAnsi="Sylfaen" w:cstheme="minorBidi"/>
          <w:lang w:val="x-none"/>
        </w:rPr>
      </w:pPr>
      <w:r w:rsidRPr="0062247B">
        <w:rPr>
          <w:rFonts w:ascii="Sylfaen" w:eastAsiaTheme="minorHAnsi" w:hAnsi="Sylfaen" w:cstheme="minorBidi"/>
          <w:lang w:val="x-none"/>
        </w:rPr>
        <w:t>1.</w:t>
      </w:r>
      <w:r w:rsidRPr="0062247B">
        <w:rPr>
          <w:rFonts w:ascii="Sylfaen" w:eastAsiaTheme="minorHAnsi" w:hAnsi="Sylfaen" w:cstheme="minorBidi"/>
          <w:lang w:val="x-none"/>
        </w:rPr>
        <w:tab/>
        <w:t>W celu potwierdzenia zgodności oferowanych dostaw z wymaganymi cechami opisanymi w SWZ i załącznikach do SWZ Zamawiający wymaga złożenia wraz z ofertą:</w:t>
      </w:r>
    </w:p>
    <w:p w14:paraId="43EA5B40" w14:textId="77777777" w:rsidR="0062247B" w:rsidRPr="0062247B" w:rsidRDefault="0062247B" w:rsidP="0062247B">
      <w:pPr>
        <w:pStyle w:val="Akapitzlist"/>
        <w:spacing w:after="0" w:line="240" w:lineRule="auto"/>
        <w:ind w:left="357"/>
        <w:jc w:val="both"/>
        <w:rPr>
          <w:rFonts w:ascii="Sylfaen" w:eastAsiaTheme="minorHAnsi" w:hAnsi="Sylfaen" w:cstheme="minorBidi"/>
          <w:lang w:val="x-none"/>
        </w:rPr>
      </w:pPr>
      <w:r w:rsidRPr="0062247B">
        <w:rPr>
          <w:rFonts w:ascii="Sylfaen" w:eastAsiaTheme="minorHAnsi" w:hAnsi="Sylfaen" w:cstheme="minorBidi"/>
          <w:lang w:val="x-none"/>
        </w:rPr>
        <w:t>1)</w:t>
      </w:r>
      <w:r w:rsidRPr="0062247B">
        <w:rPr>
          <w:rFonts w:ascii="Sylfaen" w:eastAsiaTheme="minorHAnsi" w:hAnsi="Sylfaen" w:cstheme="minorBidi"/>
          <w:lang w:val="x-none"/>
        </w:rPr>
        <w:tab/>
        <w:t xml:space="preserve">opisów bądź folderów, bądź ulotek, bądź kart katalogowych z opisem produktu oraz wyszczególnieniem numerów katalogowych, a także danych technicznych potwierdzających wymogi, zgodnie z załącznikiem nr 1 do SWZ. </w:t>
      </w:r>
    </w:p>
    <w:p w14:paraId="7BC79F8A" w14:textId="77777777" w:rsidR="0062247B" w:rsidRDefault="0062247B" w:rsidP="0062247B">
      <w:pPr>
        <w:pStyle w:val="Akapitzlist"/>
        <w:spacing w:after="0" w:line="240" w:lineRule="auto"/>
        <w:ind w:left="357"/>
        <w:jc w:val="both"/>
        <w:rPr>
          <w:rFonts w:ascii="Sylfaen" w:eastAsiaTheme="minorHAnsi" w:hAnsi="Sylfaen" w:cstheme="minorBidi"/>
          <w:lang w:val="x-none"/>
        </w:rPr>
      </w:pPr>
      <w:r w:rsidRPr="0062247B">
        <w:rPr>
          <w:rFonts w:ascii="Sylfaen" w:eastAsiaTheme="minorHAnsi" w:hAnsi="Sylfaen" w:cstheme="minorBidi"/>
          <w:lang w:val="x-none"/>
        </w:rPr>
        <w:t>2)</w:t>
      </w:r>
      <w:r w:rsidRPr="0062247B">
        <w:rPr>
          <w:rFonts w:ascii="Sylfaen" w:eastAsiaTheme="minorHAnsi" w:hAnsi="Sylfaen" w:cstheme="minorBidi"/>
          <w:lang w:val="x-none"/>
        </w:rPr>
        <w:tab/>
        <w:t xml:space="preserve"> szczegółowe dokumenty i oświadczenia o rodzaju materiałów oraz dokładnego składu (min, zawartości pierwiastków) z jakiego są wykonane poszczególne elementy oferowanych implantów – produktu.</w:t>
      </w:r>
    </w:p>
    <w:p w14:paraId="02F47221" w14:textId="48AA4031" w:rsidR="0062247B" w:rsidRPr="0062247B" w:rsidRDefault="0062247B" w:rsidP="0062247B">
      <w:pPr>
        <w:pStyle w:val="Akapitzlist"/>
        <w:spacing w:after="0" w:line="240" w:lineRule="auto"/>
        <w:ind w:left="357"/>
        <w:jc w:val="both"/>
        <w:rPr>
          <w:rFonts w:ascii="Sylfaen" w:eastAsiaTheme="minorHAnsi" w:hAnsi="Sylfaen" w:cstheme="minorBidi"/>
          <w:lang w:val="x-none"/>
        </w:rPr>
      </w:pPr>
      <w:r w:rsidRPr="0062247B">
        <w:rPr>
          <w:rFonts w:ascii="Sylfaen" w:eastAsiaTheme="minorHAnsi" w:hAnsi="Sylfaen" w:cstheme="minorBidi"/>
          <w:lang w:val="x-none"/>
        </w:rPr>
        <w:t>3)</w:t>
      </w:r>
      <w:r w:rsidRPr="0062247B">
        <w:rPr>
          <w:rFonts w:ascii="Sylfaen" w:eastAsiaTheme="minorHAnsi" w:hAnsi="Sylfaen" w:cstheme="minorBidi"/>
          <w:lang w:val="x-none"/>
        </w:rPr>
        <w:tab/>
        <w:t>badania kliniczne potwierdzające 3-letnią przeżywalność elementów endoprotez na poziomie powyżej 95%</w:t>
      </w:r>
      <w:r w:rsidRPr="0062247B">
        <w:rPr>
          <w:rFonts w:ascii="Sylfaen" w:eastAsiaTheme="minorHAnsi" w:hAnsi="Sylfaen" w:cstheme="minorBidi"/>
        </w:rPr>
        <w:t xml:space="preserve"> - </w:t>
      </w:r>
      <w:r>
        <w:rPr>
          <w:rFonts w:ascii="Sylfaen" w:eastAsia="Times New Roman" w:hAnsi="Sylfaen"/>
          <w:kern w:val="0"/>
          <w14:ligatures w14:val="none"/>
        </w:rPr>
        <w:t xml:space="preserve">Nie dotyczy </w:t>
      </w:r>
      <w:r w:rsidRPr="0062247B">
        <w:rPr>
          <w:rFonts w:ascii="Sylfaen" w:eastAsia="Times New Roman" w:hAnsi="Sylfaen"/>
          <w:kern w:val="0"/>
          <w14:ligatures w14:val="none"/>
        </w:rPr>
        <w:t xml:space="preserve">poz. 9 - </w:t>
      </w:r>
      <w:r w:rsidRPr="0062247B">
        <w:rPr>
          <w:rFonts w:ascii="Sylfaen" w:eastAsia="Times New Roman" w:hAnsi="Sylfaen"/>
          <w:b/>
          <w:bCs/>
          <w:kern w:val="0"/>
          <w14:ligatures w14:val="none"/>
        </w:rPr>
        <w:t>Endoprotez</w:t>
      </w:r>
      <w:r w:rsidR="008A1D0C">
        <w:rPr>
          <w:rFonts w:ascii="Sylfaen" w:eastAsia="Times New Roman" w:hAnsi="Sylfaen"/>
          <w:b/>
          <w:bCs/>
          <w:kern w:val="0"/>
          <w14:ligatures w14:val="none"/>
        </w:rPr>
        <w:t>a</w:t>
      </w:r>
      <w:r w:rsidRPr="0062247B">
        <w:rPr>
          <w:rFonts w:ascii="Sylfaen" w:eastAsia="Times New Roman" w:hAnsi="Sylfaen"/>
          <w:b/>
          <w:bCs/>
          <w:kern w:val="0"/>
          <w14:ligatures w14:val="none"/>
        </w:rPr>
        <w:t xml:space="preserve"> rewizyjn</w:t>
      </w:r>
      <w:r w:rsidR="008A1D0C">
        <w:rPr>
          <w:rFonts w:ascii="Sylfaen" w:eastAsia="Times New Roman" w:hAnsi="Sylfaen"/>
          <w:b/>
          <w:bCs/>
          <w:kern w:val="0"/>
          <w14:ligatures w14:val="none"/>
        </w:rPr>
        <w:t>a</w:t>
      </w:r>
      <w:r w:rsidRPr="0062247B">
        <w:rPr>
          <w:rFonts w:ascii="Sylfaen" w:eastAsia="Times New Roman" w:hAnsi="Sylfaen"/>
          <w:b/>
          <w:bCs/>
          <w:kern w:val="0"/>
          <w14:ligatures w14:val="none"/>
        </w:rPr>
        <w:t xml:space="preserve"> stawu biodrowego dla osób uczulonych</w:t>
      </w:r>
      <w:r>
        <w:rPr>
          <w:rFonts w:ascii="Sylfaen" w:eastAsia="Times New Roman" w:hAnsi="Sylfaen"/>
          <w:b/>
          <w:bCs/>
          <w:kern w:val="0"/>
          <w14:ligatures w14:val="none"/>
        </w:rPr>
        <w:t xml:space="preserve"> </w:t>
      </w:r>
      <w:r w:rsidRPr="0062247B">
        <w:rPr>
          <w:rFonts w:ascii="Sylfaen" w:eastAsia="Times New Roman" w:hAnsi="Sylfaen"/>
          <w:kern w:val="0"/>
          <w14:ligatures w14:val="none"/>
        </w:rPr>
        <w:t xml:space="preserve">Załącznika nr 1 do SWZ </w:t>
      </w:r>
      <w:r w:rsidR="00EC618B">
        <w:rPr>
          <w:rFonts w:ascii="Sylfaen" w:eastAsia="Times New Roman" w:hAnsi="Sylfaen"/>
          <w:kern w:val="0"/>
          <w14:ligatures w14:val="none"/>
        </w:rPr>
        <w:t xml:space="preserve">- </w:t>
      </w:r>
      <w:r w:rsidRPr="0062247B">
        <w:rPr>
          <w:rFonts w:ascii="Sylfaen" w:eastAsia="Times New Roman" w:hAnsi="Sylfaen"/>
          <w:kern w:val="0"/>
          <w14:ligatures w14:val="none"/>
        </w:rPr>
        <w:t>Formularza asortymentowo- cenowego.</w:t>
      </w:r>
    </w:p>
    <w:p w14:paraId="670B989B" w14:textId="27CC5BE8" w:rsidR="00D53536" w:rsidRPr="00442F98" w:rsidRDefault="0062247B" w:rsidP="00442F98">
      <w:pPr>
        <w:pStyle w:val="Akapitzlist"/>
        <w:spacing w:after="0" w:line="240" w:lineRule="auto"/>
        <w:ind w:left="357"/>
        <w:jc w:val="both"/>
        <w:rPr>
          <w:rFonts w:ascii="Sylfaen" w:eastAsiaTheme="minorHAnsi" w:hAnsi="Sylfaen" w:cstheme="minorBidi"/>
          <w:lang w:val="x-none"/>
        </w:rPr>
      </w:pPr>
      <w:r w:rsidRPr="0062247B">
        <w:rPr>
          <w:rFonts w:ascii="Sylfaen" w:eastAsiaTheme="minorHAnsi" w:hAnsi="Sylfaen" w:cstheme="minorBidi"/>
          <w:lang w:val="x-none"/>
        </w:rPr>
        <w:t>4)</w:t>
      </w:r>
      <w:r w:rsidRPr="0062247B">
        <w:rPr>
          <w:rFonts w:ascii="Sylfaen" w:eastAsiaTheme="minorHAnsi" w:hAnsi="Sylfaen" w:cstheme="minorBidi"/>
          <w:lang w:val="x-none"/>
        </w:rPr>
        <w:tab/>
        <w:t>w przypadku pozytywnej deklaracji dot. wykonywania badania NMR po implantacji zaoferowanego produktu, dokładna dokumentacja w języku polskim w zakresie parametrów/wymagań/warunków przeprowadzania badania NMR dla zaoferowanych produktów.</w:t>
      </w:r>
    </w:p>
    <w:p w14:paraId="0C499F4D" w14:textId="2DEFD1F2" w:rsidR="00EC618B" w:rsidRPr="00EC618B" w:rsidRDefault="00EC618B" w:rsidP="00EC618B">
      <w:pPr>
        <w:pStyle w:val="Akapitzlist"/>
        <w:numPr>
          <w:ilvl w:val="3"/>
          <w:numId w:val="5"/>
        </w:numPr>
        <w:spacing w:after="0" w:line="240" w:lineRule="auto"/>
        <w:ind w:left="357" w:hanging="357"/>
        <w:jc w:val="both"/>
        <w:rPr>
          <w:rFonts w:ascii="Sylfaen" w:eastAsiaTheme="minorHAnsi" w:hAnsi="Sylfaen" w:cstheme="minorBidi"/>
          <w:lang w:val="x-none"/>
        </w:rPr>
      </w:pPr>
      <w:r w:rsidRPr="00EC618B">
        <w:rPr>
          <w:rFonts w:ascii="Sylfaen" w:hAnsi="Sylfaen"/>
        </w:rPr>
        <w:t xml:space="preserve">w Rozdziale 21 – „Termin związania ofertą” wykreśla się dotychczasowy zapis </w:t>
      </w:r>
      <w:r w:rsidRPr="00EC618B">
        <w:rPr>
          <w:rFonts w:ascii="Sylfaen" w:hAnsi="Sylfaen"/>
        </w:rPr>
        <w:br/>
        <w:t>o następującej treści: „1</w:t>
      </w:r>
      <w:r w:rsidR="00442F98">
        <w:rPr>
          <w:rFonts w:ascii="Sylfaen" w:hAnsi="Sylfaen"/>
        </w:rPr>
        <w:t>5</w:t>
      </w:r>
      <w:r w:rsidRPr="00EC618B">
        <w:rPr>
          <w:rFonts w:ascii="Sylfaen" w:hAnsi="Sylfaen"/>
        </w:rPr>
        <w:t xml:space="preserve"> marca 2024 r.”, a w miejsce wykreślonego zapisu wprowadza nowy zapis o następującej treści: </w:t>
      </w:r>
      <w:r w:rsidRPr="00EC618B">
        <w:rPr>
          <w:rFonts w:ascii="Sylfaen" w:hAnsi="Sylfaen"/>
          <w:b/>
          <w:bCs/>
        </w:rPr>
        <w:t>„1</w:t>
      </w:r>
      <w:r w:rsidR="00442F98">
        <w:rPr>
          <w:rFonts w:ascii="Sylfaen" w:hAnsi="Sylfaen"/>
          <w:b/>
          <w:bCs/>
        </w:rPr>
        <w:t xml:space="preserve">6 </w:t>
      </w:r>
      <w:r w:rsidRPr="00EC618B">
        <w:rPr>
          <w:rFonts w:ascii="Sylfaen" w:hAnsi="Sylfaen"/>
          <w:b/>
          <w:bCs/>
        </w:rPr>
        <w:t>marca 2024 r.”</w:t>
      </w:r>
      <w:r w:rsidRPr="00EC618B">
        <w:rPr>
          <w:rFonts w:ascii="Sylfaen" w:hAnsi="Sylfaen"/>
        </w:rPr>
        <w:t>,</w:t>
      </w:r>
    </w:p>
    <w:p w14:paraId="2740DBD3" w14:textId="524F3226" w:rsidR="00EC618B" w:rsidRPr="00EC618B" w:rsidRDefault="00EC618B" w:rsidP="00EC618B">
      <w:pPr>
        <w:pStyle w:val="Akapitzlist"/>
        <w:numPr>
          <w:ilvl w:val="3"/>
          <w:numId w:val="5"/>
        </w:numPr>
        <w:spacing w:after="0" w:line="240" w:lineRule="auto"/>
        <w:ind w:left="357" w:hanging="357"/>
        <w:jc w:val="both"/>
        <w:rPr>
          <w:rFonts w:ascii="Sylfaen" w:eastAsiaTheme="minorHAnsi" w:hAnsi="Sylfaen" w:cstheme="minorBidi"/>
          <w:lang w:val="x-none"/>
        </w:rPr>
      </w:pPr>
      <w:r w:rsidRPr="00EC618B">
        <w:rPr>
          <w:rFonts w:ascii="Sylfaen" w:hAnsi="Sylfaen"/>
        </w:rPr>
        <w:lastRenderedPageBreak/>
        <w:t xml:space="preserve"> w Rozdziale 20 – „Termin składania ofert, termin otwarcia ofert” w ust. 20.1 wykreśla się dotychczasowy zapis o następującej treści: „1</w:t>
      </w:r>
      <w:r w:rsidR="00442F98">
        <w:rPr>
          <w:rFonts w:ascii="Sylfaen" w:hAnsi="Sylfaen"/>
        </w:rPr>
        <w:t>5</w:t>
      </w:r>
      <w:r w:rsidRPr="00EC618B">
        <w:rPr>
          <w:rFonts w:ascii="Sylfaen" w:hAnsi="Sylfaen"/>
        </w:rPr>
        <w:t xml:space="preserve"> lutego 2024 r. do godz. 9:00”, a w miejsce wykreślonego zapisu wprowadza nowy zapis o następującej treści: </w:t>
      </w:r>
      <w:r w:rsidRPr="00EC618B">
        <w:rPr>
          <w:rFonts w:ascii="Sylfaen" w:hAnsi="Sylfaen"/>
          <w:b/>
          <w:bCs/>
        </w:rPr>
        <w:t>„1</w:t>
      </w:r>
      <w:r w:rsidR="00442F98">
        <w:rPr>
          <w:rFonts w:ascii="Sylfaen" w:hAnsi="Sylfaen"/>
          <w:b/>
          <w:bCs/>
        </w:rPr>
        <w:t>6</w:t>
      </w:r>
      <w:r w:rsidRPr="00EC618B">
        <w:rPr>
          <w:rFonts w:ascii="Sylfaen" w:hAnsi="Sylfaen"/>
          <w:b/>
          <w:bCs/>
        </w:rPr>
        <w:t xml:space="preserve"> lutego 2024 r. do godz. 9:00</w:t>
      </w:r>
      <w:r w:rsidRPr="00EC618B">
        <w:rPr>
          <w:rFonts w:ascii="Sylfaen" w:hAnsi="Sylfaen"/>
        </w:rPr>
        <w:t>”,</w:t>
      </w:r>
    </w:p>
    <w:p w14:paraId="6BF4D47F" w14:textId="1900BC94" w:rsidR="00EC618B" w:rsidRPr="00EC618B" w:rsidRDefault="00EC618B" w:rsidP="00EC618B">
      <w:pPr>
        <w:pStyle w:val="Akapitzlist"/>
        <w:numPr>
          <w:ilvl w:val="3"/>
          <w:numId w:val="5"/>
        </w:numPr>
        <w:spacing w:after="0" w:line="240" w:lineRule="auto"/>
        <w:ind w:left="357" w:hanging="357"/>
        <w:jc w:val="both"/>
        <w:rPr>
          <w:rFonts w:ascii="Sylfaen" w:eastAsiaTheme="minorHAnsi" w:hAnsi="Sylfaen" w:cstheme="minorBidi"/>
          <w:lang w:val="x-none"/>
        </w:rPr>
      </w:pPr>
      <w:r w:rsidRPr="00EC618B">
        <w:rPr>
          <w:rFonts w:ascii="Sylfaen" w:hAnsi="Sylfaen"/>
        </w:rPr>
        <w:t>w Rozdziale 20 – „Termin składania ofert, termin otwarcia ofert” w ust.20.2 wykreśla się dotychczasowy zapis o następującej treści: „1</w:t>
      </w:r>
      <w:r w:rsidR="00442F98">
        <w:rPr>
          <w:rFonts w:ascii="Sylfaen" w:hAnsi="Sylfaen"/>
        </w:rPr>
        <w:t>5</w:t>
      </w:r>
      <w:r w:rsidRPr="00EC618B">
        <w:rPr>
          <w:rFonts w:ascii="Sylfaen" w:hAnsi="Sylfaen"/>
        </w:rPr>
        <w:t xml:space="preserve"> lutego 2023 r. o godz. 10:00”, a w miejsce wykreślonego zapisu wprowadza nowy zapis o następującej treści: „</w:t>
      </w:r>
      <w:r w:rsidRPr="00EC618B">
        <w:rPr>
          <w:rFonts w:ascii="Sylfaen" w:hAnsi="Sylfaen"/>
          <w:b/>
          <w:bCs/>
        </w:rPr>
        <w:t>1</w:t>
      </w:r>
      <w:r w:rsidR="00442F98">
        <w:rPr>
          <w:rFonts w:ascii="Sylfaen" w:hAnsi="Sylfaen"/>
          <w:b/>
          <w:bCs/>
        </w:rPr>
        <w:t>6</w:t>
      </w:r>
      <w:r w:rsidRPr="00EC618B">
        <w:rPr>
          <w:rFonts w:ascii="Sylfaen" w:hAnsi="Sylfaen"/>
          <w:b/>
          <w:bCs/>
        </w:rPr>
        <w:t xml:space="preserve"> lutego 2024 r. o godz. 10:00</w:t>
      </w:r>
      <w:r w:rsidRPr="00EC618B">
        <w:rPr>
          <w:rFonts w:ascii="Sylfaen" w:hAnsi="Sylfaen"/>
        </w:rPr>
        <w:t>”.</w:t>
      </w:r>
    </w:p>
    <w:p w14:paraId="5E5C3FE9" w14:textId="77DCC815" w:rsidR="0066544C" w:rsidRPr="00D53536" w:rsidRDefault="0066544C" w:rsidP="00D53536">
      <w:pPr>
        <w:pStyle w:val="Akapitzlist"/>
        <w:numPr>
          <w:ilvl w:val="3"/>
          <w:numId w:val="5"/>
        </w:numPr>
        <w:spacing w:after="0" w:line="240" w:lineRule="auto"/>
        <w:ind w:left="357" w:hanging="357"/>
        <w:jc w:val="both"/>
        <w:rPr>
          <w:rFonts w:ascii="Sylfaen" w:eastAsiaTheme="minorHAnsi" w:hAnsi="Sylfaen" w:cstheme="minorBidi"/>
          <w:lang w:val="x-none"/>
        </w:rPr>
      </w:pPr>
      <w:r w:rsidRPr="00D53536">
        <w:rPr>
          <w:rFonts w:ascii="Sylfaen" w:hAnsi="Sylfaen"/>
        </w:rPr>
        <w:t xml:space="preserve">W załączniku nr 1 do SWZ w pozycji „Uwaga” : </w:t>
      </w:r>
    </w:p>
    <w:p w14:paraId="35961FA8" w14:textId="6C06CB68" w:rsidR="00EC618B" w:rsidRPr="00EC618B" w:rsidRDefault="0066544C" w:rsidP="00EC618B">
      <w:pPr>
        <w:pStyle w:val="Akapitzlist"/>
        <w:numPr>
          <w:ilvl w:val="0"/>
          <w:numId w:val="2"/>
        </w:numPr>
        <w:jc w:val="both"/>
        <w:rPr>
          <w:rFonts w:ascii="Sylfaen" w:hAnsi="Sylfaen"/>
        </w:rPr>
      </w:pPr>
      <w:r w:rsidRPr="00E422D1">
        <w:rPr>
          <w:rFonts w:ascii="Sylfaen" w:hAnsi="Sylfaen"/>
        </w:rPr>
        <w:t xml:space="preserve">W pkt </w:t>
      </w:r>
      <w:r w:rsidR="003C5F7C">
        <w:rPr>
          <w:rFonts w:ascii="Sylfaen" w:hAnsi="Sylfaen"/>
        </w:rPr>
        <w:t>2</w:t>
      </w:r>
      <w:r w:rsidRPr="00E422D1">
        <w:rPr>
          <w:rFonts w:ascii="Sylfaen" w:hAnsi="Sylfaen"/>
        </w:rPr>
        <w:t xml:space="preserve"> wykreśla się dotychczasowy zapis o następującej treści:</w:t>
      </w:r>
      <w:r w:rsidR="00AF75DC" w:rsidRPr="00E422D1">
        <w:rPr>
          <w:rFonts w:ascii="Times New Roman" w:eastAsia="Times New Roman" w:hAnsi="Times New Roman"/>
          <w:kern w:val="0"/>
          <w:sz w:val="24"/>
          <w14:ligatures w14:val="none"/>
        </w:rPr>
        <w:t xml:space="preserve"> „</w:t>
      </w:r>
      <w:r w:rsidR="00AF75DC" w:rsidRPr="00E422D1">
        <w:rPr>
          <w:rFonts w:ascii="Sylfaen" w:hAnsi="Sylfaen"/>
        </w:rPr>
        <w:t>Wymagana 3-letnia przeżywalność elementów endoprotez na poziomie powyżej 95%</w:t>
      </w:r>
      <w:r w:rsidR="00E422D1" w:rsidRPr="00E422D1">
        <w:rPr>
          <w:rFonts w:ascii="Sylfaen" w:hAnsi="Sylfaen"/>
        </w:rPr>
        <w:t>”,</w:t>
      </w:r>
      <w:r w:rsidR="00E422D1" w:rsidRPr="00E422D1">
        <w:rPr>
          <w:rFonts w:ascii="Sylfaen" w:eastAsia="Times New Roman" w:hAnsi="Sylfaen"/>
          <w:kern w:val="0"/>
          <w:sz w:val="24"/>
          <w14:ligatures w14:val="none"/>
        </w:rPr>
        <w:t xml:space="preserve"> </w:t>
      </w:r>
      <w:r w:rsidR="00E422D1" w:rsidRPr="00E422D1">
        <w:rPr>
          <w:rFonts w:ascii="Sylfaen" w:hAnsi="Sylfaen"/>
        </w:rPr>
        <w:t>a w miejsce wykreślonego zapisu wprowadza nowy zapis o następującej treści: „Wymagana 3-letnia przeżywalność elementów endoprotez na poziomie powyżej 95%. Powyższe wymagania nie dotyczą poz. 9 - Endoprotez</w:t>
      </w:r>
      <w:r w:rsidR="003C5F7C">
        <w:rPr>
          <w:rFonts w:ascii="Sylfaen" w:hAnsi="Sylfaen"/>
        </w:rPr>
        <w:t>a</w:t>
      </w:r>
      <w:r w:rsidR="00E422D1" w:rsidRPr="00E422D1">
        <w:rPr>
          <w:rFonts w:ascii="Sylfaen" w:hAnsi="Sylfaen"/>
        </w:rPr>
        <w:t xml:space="preserve"> rewizyjn</w:t>
      </w:r>
      <w:r w:rsidR="003C5F7C">
        <w:rPr>
          <w:rFonts w:ascii="Sylfaen" w:hAnsi="Sylfaen"/>
        </w:rPr>
        <w:t>a</w:t>
      </w:r>
      <w:r w:rsidR="00E422D1" w:rsidRPr="00E422D1">
        <w:rPr>
          <w:rFonts w:ascii="Sylfaen" w:hAnsi="Sylfaen"/>
        </w:rPr>
        <w:t xml:space="preserve"> stawu biodrowego dla osób uczulonych”.</w:t>
      </w:r>
    </w:p>
    <w:p w14:paraId="38491032" w14:textId="1AE512DC" w:rsidR="004E3214" w:rsidRDefault="00EC618B" w:rsidP="00EC618B">
      <w:pPr>
        <w:pStyle w:val="Akapitzlist"/>
        <w:numPr>
          <w:ilvl w:val="3"/>
          <w:numId w:val="5"/>
        </w:numPr>
        <w:spacing w:after="0" w:line="240" w:lineRule="auto"/>
        <w:ind w:left="357" w:hanging="357"/>
        <w:jc w:val="both"/>
        <w:rPr>
          <w:rFonts w:ascii="Sylfaen" w:hAnsi="Sylfaen"/>
        </w:rPr>
      </w:pPr>
      <w:bookmarkStart w:id="1" w:name="_Hlk158713205"/>
      <w:r w:rsidRPr="00EC618B">
        <w:rPr>
          <w:rFonts w:ascii="Sylfaen" w:hAnsi="Sylfaen"/>
        </w:rPr>
        <w:t xml:space="preserve">W załączniku nr 2 – projektowane postanowienia umowy paragrafie 5 wykreśla się dotychczasowy zapis ust. </w:t>
      </w:r>
      <w:r w:rsidR="00442F98">
        <w:rPr>
          <w:rFonts w:ascii="Sylfaen" w:hAnsi="Sylfaen"/>
        </w:rPr>
        <w:t>2</w:t>
      </w:r>
      <w:r w:rsidRPr="00EC618B">
        <w:rPr>
          <w:rFonts w:ascii="Sylfaen" w:hAnsi="Sylfaen"/>
        </w:rPr>
        <w:t xml:space="preserve"> o następującej treści:</w:t>
      </w:r>
      <w:r w:rsidR="004720F3" w:rsidRPr="004720F3">
        <w:rPr>
          <w:rFonts w:eastAsia="Times New Roman" w:cs="Calibri"/>
          <w:kern w:val="3"/>
          <w:sz w:val="21"/>
          <w:szCs w:val="21"/>
          <w14:ligatures w14:val="none"/>
        </w:rPr>
        <w:t xml:space="preserve"> </w:t>
      </w:r>
      <w:bookmarkEnd w:id="1"/>
      <w:r w:rsidR="004720F3">
        <w:rPr>
          <w:rFonts w:eastAsia="Times New Roman" w:cs="Calibri"/>
          <w:kern w:val="3"/>
          <w:sz w:val="21"/>
          <w:szCs w:val="21"/>
          <w14:ligatures w14:val="none"/>
        </w:rPr>
        <w:t>„</w:t>
      </w:r>
      <w:r w:rsidR="004720F3" w:rsidRPr="004720F3">
        <w:rPr>
          <w:rFonts w:ascii="Sylfaen" w:hAnsi="Sylfaen"/>
        </w:rPr>
        <w:t>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r w:rsidR="004720F3">
        <w:rPr>
          <w:rFonts w:ascii="Sylfaen" w:hAnsi="Sylfaen"/>
        </w:rPr>
        <w:t xml:space="preserve">”, </w:t>
      </w:r>
      <w:bookmarkStart w:id="2" w:name="_Hlk158713252"/>
      <w:r w:rsidR="004720F3" w:rsidRPr="004720F3">
        <w:rPr>
          <w:rFonts w:ascii="Sylfaen" w:hAnsi="Sylfaen"/>
        </w:rPr>
        <w:t>a w miejsce wykreślonego zapisu wprowadza nowy zapis o następującej treści:</w:t>
      </w:r>
      <w:r w:rsidR="004720F3">
        <w:rPr>
          <w:rFonts w:ascii="Sylfaen" w:hAnsi="Sylfaen"/>
        </w:rPr>
        <w:t xml:space="preserve"> </w:t>
      </w:r>
      <w:bookmarkEnd w:id="2"/>
      <w:r w:rsidR="004720F3">
        <w:rPr>
          <w:rFonts w:ascii="Sylfaen" w:hAnsi="Sylfaen"/>
        </w:rPr>
        <w:t>„</w:t>
      </w:r>
      <w:r w:rsidR="004720F3" w:rsidRPr="004720F3">
        <w:rPr>
          <w:rFonts w:ascii="Sylfaen" w:hAnsi="Sylfaen"/>
        </w:rPr>
        <w:t>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w:t>
      </w:r>
      <w:r w:rsidR="004720F3">
        <w:rPr>
          <w:rFonts w:ascii="Sylfaen" w:hAnsi="Sylfaen"/>
        </w:rPr>
        <w:t>8</w:t>
      </w:r>
      <w:r w:rsidR="004720F3" w:rsidRPr="004720F3">
        <w:rPr>
          <w:rFonts w:ascii="Sylfaen" w:hAnsi="Sylfaen"/>
        </w:rPr>
        <w:t>”</w:t>
      </w:r>
      <w:r w:rsidR="004720F3">
        <w:rPr>
          <w:rFonts w:ascii="Sylfaen" w:hAnsi="Sylfaen"/>
        </w:rPr>
        <w:t>.</w:t>
      </w:r>
    </w:p>
    <w:p w14:paraId="1D19BD15" w14:textId="3CABEF4C" w:rsidR="004720F3" w:rsidRDefault="004720F3" w:rsidP="00EC618B">
      <w:pPr>
        <w:pStyle w:val="Akapitzlist"/>
        <w:numPr>
          <w:ilvl w:val="3"/>
          <w:numId w:val="5"/>
        </w:numPr>
        <w:spacing w:after="0" w:line="240" w:lineRule="auto"/>
        <w:ind w:left="357" w:hanging="357"/>
        <w:jc w:val="both"/>
        <w:rPr>
          <w:rFonts w:ascii="Sylfaen" w:hAnsi="Sylfaen"/>
        </w:rPr>
      </w:pPr>
      <w:r w:rsidRPr="004720F3">
        <w:rPr>
          <w:rFonts w:ascii="Sylfaen" w:hAnsi="Sylfaen"/>
        </w:rPr>
        <w:t xml:space="preserve">W załączniku nr 2 – projektowane postanowienia umowy paragrafie 5 wykreśla się dotychczasowy zapis ust. </w:t>
      </w:r>
      <w:r>
        <w:rPr>
          <w:rFonts w:ascii="Sylfaen" w:hAnsi="Sylfaen"/>
        </w:rPr>
        <w:t>4</w:t>
      </w:r>
      <w:r w:rsidRPr="004720F3">
        <w:rPr>
          <w:rFonts w:ascii="Sylfaen" w:hAnsi="Sylfaen"/>
        </w:rPr>
        <w:t xml:space="preserve"> o następującej treści:</w:t>
      </w:r>
      <w:r w:rsidRPr="004720F3">
        <w:rPr>
          <w:rFonts w:eastAsia="Times New Roman" w:cs="Calibri"/>
          <w:kern w:val="3"/>
          <w:sz w:val="21"/>
          <w:szCs w:val="21"/>
          <w14:ligatures w14:val="none"/>
        </w:rPr>
        <w:t xml:space="preserve"> </w:t>
      </w:r>
      <w:bookmarkStart w:id="3" w:name="_Hlk158713271"/>
      <w:r>
        <w:rPr>
          <w:rFonts w:eastAsia="Times New Roman" w:cs="Calibri"/>
          <w:kern w:val="3"/>
          <w:sz w:val="21"/>
          <w:szCs w:val="21"/>
          <w14:ligatures w14:val="none"/>
        </w:rPr>
        <w:t>„</w:t>
      </w:r>
      <w:r w:rsidRPr="004720F3">
        <w:rPr>
          <w:rFonts w:ascii="Sylfaen" w:hAnsi="Sylfaen"/>
        </w:rPr>
        <w:t>Wystawianie faktury i uzupełnienie implantów odbywają się wyłącznie jednorazowo wg formularza zużycia implantów, o którym mowa w § 4 ust.6, tj. jedna faktura na wszystkie elementy zużyte w trakcie zabiegu, udokumentowane na formularzu zużycia implantu. Nie dopuszcza się wystawiania kilku faktur na jeden formularz zużycia oraz dostarczania uzupełnienia implantów częściowo</w:t>
      </w:r>
      <w:r>
        <w:rPr>
          <w:rFonts w:ascii="Sylfaen" w:hAnsi="Sylfaen"/>
        </w:rPr>
        <w:t>”</w:t>
      </w:r>
      <w:bookmarkEnd w:id="3"/>
      <w:r>
        <w:rPr>
          <w:rFonts w:ascii="Sylfaen" w:hAnsi="Sylfaen"/>
        </w:rPr>
        <w:t xml:space="preserve">, </w:t>
      </w:r>
      <w:r w:rsidRPr="004720F3">
        <w:rPr>
          <w:rFonts w:ascii="Sylfaen" w:hAnsi="Sylfaen"/>
        </w:rPr>
        <w:t>a w miejsce wykreślonego zapisu wprowadza nowy zapis o następującej treści:</w:t>
      </w:r>
      <w:r w:rsidR="00ED5B9B" w:rsidRPr="00ED5B9B">
        <w:rPr>
          <w:rFonts w:eastAsia="Times New Roman" w:cs="Calibri"/>
          <w:kern w:val="3"/>
          <w:sz w:val="21"/>
          <w:szCs w:val="21"/>
          <w14:ligatures w14:val="none"/>
        </w:rPr>
        <w:t xml:space="preserve"> </w:t>
      </w:r>
      <w:r w:rsidR="00ED5B9B" w:rsidRPr="00ED5B9B">
        <w:rPr>
          <w:rFonts w:ascii="Sylfaen" w:hAnsi="Sylfaen"/>
        </w:rPr>
        <w:t xml:space="preserve">„Wystawianie faktury </w:t>
      </w:r>
      <w:r w:rsidR="00ED5B9B">
        <w:rPr>
          <w:rFonts w:ascii="Sylfaen" w:hAnsi="Sylfaen"/>
        </w:rPr>
        <w:br/>
      </w:r>
      <w:r w:rsidR="00ED5B9B" w:rsidRPr="00ED5B9B">
        <w:rPr>
          <w:rFonts w:ascii="Sylfaen" w:hAnsi="Sylfaen"/>
        </w:rPr>
        <w:t>i uzupełnienie implantów odbywają się wyłącznie jednorazowo wg formularza zużycia implantów, o którym mowa w § 4 ust.</w:t>
      </w:r>
      <w:r w:rsidR="00ED5B9B">
        <w:rPr>
          <w:rFonts w:ascii="Sylfaen" w:hAnsi="Sylfaen"/>
        </w:rPr>
        <w:t>8</w:t>
      </w:r>
      <w:r w:rsidR="00ED5B9B" w:rsidRPr="00ED5B9B">
        <w:rPr>
          <w:rFonts w:ascii="Sylfaen" w:hAnsi="Sylfaen"/>
        </w:rPr>
        <w:t>, tj. jedna faktura na wszystkie elementy zużyte w trakcie zabiegu, udokumentowane na formularzu zużycia implantu. Nie dopuszcza się wystawiania kilku faktur na jeden formularz zużycia oraz dostarczania uzupełnienia implantów częściowo”</w:t>
      </w:r>
      <w:r w:rsidR="008A1D0C">
        <w:rPr>
          <w:rFonts w:ascii="Sylfaen" w:hAnsi="Sylfaen"/>
        </w:rPr>
        <w:t>.</w:t>
      </w:r>
    </w:p>
    <w:p w14:paraId="37E4A223" w14:textId="77777777" w:rsidR="005E5ABD" w:rsidRDefault="005E5ABD" w:rsidP="005E5ABD">
      <w:pPr>
        <w:spacing w:after="0" w:line="240" w:lineRule="auto"/>
        <w:jc w:val="both"/>
        <w:rPr>
          <w:rFonts w:ascii="Sylfaen" w:hAnsi="Sylfaen"/>
        </w:rPr>
      </w:pPr>
    </w:p>
    <w:p w14:paraId="2C323282" w14:textId="77777777" w:rsidR="005E5ABD" w:rsidRPr="005510F1" w:rsidRDefault="005E5ABD" w:rsidP="005E5ABD">
      <w:pPr>
        <w:pStyle w:val="Akapitzlist"/>
        <w:spacing w:after="0" w:line="240" w:lineRule="auto"/>
        <w:ind w:left="357"/>
        <w:jc w:val="both"/>
        <w:rPr>
          <w:rFonts w:ascii="Sylfaen" w:eastAsia="Times New Roman" w:hAnsi="Sylfaen"/>
          <w:i/>
          <w:iCs/>
          <w:kern w:val="0"/>
          <w:sz w:val="24"/>
          <w14:ligatures w14:val="none"/>
        </w:rPr>
      </w:pPr>
    </w:p>
    <w:p w14:paraId="1CC87973" w14:textId="77777777" w:rsidR="005E5ABD" w:rsidRPr="005510F1" w:rsidRDefault="005E5ABD" w:rsidP="005E5ABD">
      <w:pPr>
        <w:spacing w:after="0" w:line="360" w:lineRule="auto"/>
        <w:jc w:val="both"/>
        <w:rPr>
          <w:rFonts w:ascii="Sylfaen" w:hAnsi="Sylfaen"/>
        </w:rPr>
      </w:pPr>
      <w:r w:rsidRPr="005510F1">
        <w:rPr>
          <w:rFonts w:ascii="Sylfaen" w:hAnsi="Sylfaen"/>
        </w:rPr>
        <w:t xml:space="preserve">Pozostałe warunki zgodne z SWZ. </w:t>
      </w:r>
    </w:p>
    <w:p w14:paraId="51E7EA8C" w14:textId="7F245089" w:rsidR="005E5ABD" w:rsidRPr="005510F1" w:rsidRDefault="005E5ABD" w:rsidP="005E5ABD">
      <w:pPr>
        <w:jc w:val="both"/>
        <w:rPr>
          <w:rFonts w:ascii="Sylfaen" w:hAnsi="Sylfaen"/>
          <w:sz w:val="16"/>
          <w:szCs w:val="16"/>
        </w:rPr>
      </w:pPr>
      <w:r w:rsidRPr="005510F1">
        <w:rPr>
          <w:rFonts w:ascii="Sylfaen" w:hAnsi="Sylfaen"/>
          <w:sz w:val="16"/>
          <w:szCs w:val="16"/>
        </w:rPr>
        <w:t xml:space="preserve">W dniu </w:t>
      </w:r>
      <w:r>
        <w:rPr>
          <w:rFonts w:ascii="Sylfaen" w:hAnsi="Sylfaen"/>
          <w:sz w:val="16"/>
          <w:szCs w:val="16"/>
        </w:rPr>
        <w:t>13</w:t>
      </w:r>
      <w:r w:rsidRPr="005510F1">
        <w:rPr>
          <w:rFonts w:ascii="Sylfaen" w:hAnsi="Sylfaen"/>
          <w:sz w:val="16"/>
          <w:szCs w:val="16"/>
        </w:rPr>
        <w:t>.02.2024 r. modyfikację SWZ zamieszczono na stronie  prowadzonego postępowania.</w:t>
      </w:r>
    </w:p>
    <w:p w14:paraId="29657120" w14:textId="77777777" w:rsidR="005E5ABD" w:rsidRPr="005E5ABD" w:rsidRDefault="005E5ABD" w:rsidP="005E5ABD">
      <w:pPr>
        <w:spacing w:after="0" w:line="240" w:lineRule="auto"/>
        <w:jc w:val="both"/>
        <w:rPr>
          <w:rFonts w:ascii="Sylfaen" w:hAnsi="Sylfaen"/>
        </w:rPr>
      </w:pPr>
    </w:p>
    <w:sectPr w:rsidR="005E5ABD" w:rsidRPr="005E5A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91DD" w14:textId="77777777" w:rsidR="001C3BEA" w:rsidRDefault="001C3BEA" w:rsidP="005E5ABD">
      <w:pPr>
        <w:spacing w:after="0" w:line="240" w:lineRule="auto"/>
      </w:pPr>
      <w:r>
        <w:separator/>
      </w:r>
    </w:p>
  </w:endnote>
  <w:endnote w:type="continuationSeparator" w:id="0">
    <w:p w14:paraId="31575854" w14:textId="77777777" w:rsidR="001C3BEA" w:rsidRDefault="001C3BEA" w:rsidP="005E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69180"/>
      <w:docPartObj>
        <w:docPartGallery w:val="Page Numbers (Bottom of Page)"/>
        <w:docPartUnique/>
      </w:docPartObj>
    </w:sdtPr>
    <w:sdtContent>
      <w:p w14:paraId="4C2B318F" w14:textId="5F2DDB72" w:rsidR="005E5ABD" w:rsidRDefault="005E5ABD">
        <w:pPr>
          <w:pStyle w:val="Stopka"/>
          <w:jc w:val="right"/>
        </w:pPr>
        <w:r>
          <w:fldChar w:fldCharType="begin"/>
        </w:r>
        <w:r>
          <w:instrText>PAGE   \* MERGEFORMAT</w:instrText>
        </w:r>
        <w:r>
          <w:fldChar w:fldCharType="separate"/>
        </w:r>
        <w:r>
          <w:t>2</w:t>
        </w:r>
        <w:r>
          <w:fldChar w:fldCharType="end"/>
        </w:r>
      </w:p>
    </w:sdtContent>
  </w:sdt>
  <w:p w14:paraId="45072E0A" w14:textId="77777777" w:rsidR="005E5ABD" w:rsidRDefault="005E5A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3CD7" w14:textId="77777777" w:rsidR="001C3BEA" w:rsidRDefault="001C3BEA" w:rsidP="005E5ABD">
      <w:pPr>
        <w:spacing w:after="0" w:line="240" w:lineRule="auto"/>
      </w:pPr>
      <w:r>
        <w:separator/>
      </w:r>
    </w:p>
  </w:footnote>
  <w:footnote w:type="continuationSeparator" w:id="0">
    <w:p w14:paraId="40C7A711" w14:textId="77777777" w:rsidR="001C3BEA" w:rsidRDefault="001C3BEA" w:rsidP="005E5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7207B"/>
    <w:multiLevelType w:val="hybridMultilevel"/>
    <w:tmpl w:val="9AFA06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CC63190"/>
    <w:multiLevelType w:val="hybridMultilevel"/>
    <w:tmpl w:val="59A819B4"/>
    <w:lvl w:ilvl="0" w:tplc="685C0B4A">
      <w:start w:val="1"/>
      <w:numFmt w:val="decimal"/>
      <w:lvlText w:val="%1)"/>
      <w:lvlJc w:val="left"/>
      <w:pPr>
        <w:ind w:left="616" w:hanging="360"/>
      </w:pPr>
      <w:rPr>
        <w:rFonts w:cs="Calibri" w:hint="default"/>
        <w:b w:val="0"/>
        <w:color w:val="00000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 w15:restartNumberingAfterBreak="0">
    <w:nsid w:val="4D0B606F"/>
    <w:multiLevelType w:val="hybridMultilevel"/>
    <w:tmpl w:val="E1343F7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4E9329C7"/>
    <w:multiLevelType w:val="hybridMultilevel"/>
    <w:tmpl w:val="D18C8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BA5312"/>
    <w:multiLevelType w:val="hybridMultilevel"/>
    <w:tmpl w:val="CD34C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236969"/>
    <w:multiLevelType w:val="hybridMultilevel"/>
    <w:tmpl w:val="1028247E"/>
    <w:lvl w:ilvl="0" w:tplc="FFFFFFFF">
      <w:start w:val="1"/>
      <w:numFmt w:val="decimal"/>
      <w:lvlText w:val="%1)"/>
      <w:lvlJc w:val="left"/>
      <w:pPr>
        <w:ind w:left="785" w:hanging="360"/>
      </w:pPr>
      <w:rPr>
        <w:i w:val="0"/>
        <w:i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15:restartNumberingAfterBreak="0">
    <w:nsid w:val="53C45433"/>
    <w:multiLevelType w:val="hybridMultilevel"/>
    <w:tmpl w:val="1028247E"/>
    <w:lvl w:ilvl="0" w:tplc="FFFFFFFF">
      <w:start w:val="1"/>
      <w:numFmt w:val="decimal"/>
      <w:lvlText w:val="%1)"/>
      <w:lvlJc w:val="left"/>
      <w:pPr>
        <w:ind w:left="785" w:hanging="360"/>
      </w:pPr>
      <w:rPr>
        <w:i w:val="0"/>
        <w:i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60F96D4D"/>
    <w:multiLevelType w:val="hybridMultilevel"/>
    <w:tmpl w:val="6584E0FC"/>
    <w:lvl w:ilvl="0" w:tplc="0415000F">
      <w:start w:val="1"/>
      <w:numFmt w:val="decimal"/>
      <w:lvlText w:val="%1."/>
      <w:lvlJc w:val="left"/>
      <w:pPr>
        <w:ind w:left="692" w:hanging="360"/>
      </w:pPr>
    </w:lvl>
    <w:lvl w:ilvl="1" w:tplc="04150019" w:tentative="1">
      <w:start w:val="1"/>
      <w:numFmt w:val="lowerLetter"/>
      <w:lvlText w:val="%2."/>
      <w:lvlJc w:val="left"/>
      <w:pPr>
        <w:ind w:left="1412" w:hanging="360"/>
      </w:pPr>
    </w:lvl>
    <w:lvl w:ilvl="2" w:tplc="0415001B" w:tentative="1">
      <w:start w:val="1"/>
      <w:numFmt w:val="lowerRoman"/>
      <w:lvlText w:val="%3."/>
      <w:lvlJc w:val="right"/>
      <w:pPr>
        <w:ind w:left="2132" w:hanging="180"/>
      </w:pPr>
    </w:lvl>
    <w:lvl w:ilvl="3" w:tplc="0415000F" w:tentative="1">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8" w15:restartNumberingAfterBreak="0">
    <w:nsid w:val="69BC1E47"/>
    <w:multiLevelType w:val="hybridMultilevel"/>
    <w:tmpl w:val="1028247E"/>
    <w:lvl w:ilvl="0" w:tplc="60DA1C5E">
      <w:start w:val="1"/>
      <w:numFmt w:val="decimal"/>
      <w:lvlText w:val="%1)"/>
      <w:lvlJc w:val="left"/>
      <w:pPr>
        <w:ind w:left="785" w:hanging="360"/>
      </w:pPr>
      <w:rPr>
        <w:i w:val="0"/>
        <w:i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866598361">
    <w:abstractNumId w:val="8"/>
  </w:num>
  <w:num w:numId="2" w16cid:durableId="1003779531">
    <w:abstractNumId w:val="3"/>
  </w:num>
  <w:num w:numId="3" w16cid:durableId="810635670">
    <w:abstractNumId w:val="5"/>
  </w:num>
  <w:num w:numId="4" w16cid:durableId="1716351270">
    <w:abstractNumId w:val="6"/>
  </w:num>
  <w:num w:numId="5" w16cid:durableId="1718893650">
    <w:abstractNumId w:val="2"/>
  </w:num>
  <w:num w:numId="6" w16cid:durableId="801650236">
    <w:abstractNumId w:val="1"/>
  </w:num>
  <w:num w:numId="7" w16cid:durableId="1419595525">
    <w:abstractNumId w:val="7"/>
  </w:num>
  <w:num w:numId="8" w16cid:durableId="568613612">
    <w:abstractNumId w:val="4"/>
  </w:num>
  <w:num w:numId="9" w16cid:durableId="44296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4C"/>
    <w:rsid w:val="001946D0"/>
    <w:rsid w:val="001C3BEA"/>
    <w:rsid w:val="00275672"/>
    <w:rsid w:val="003C5F7C"/>
    <w:rsid w:val="003D3140"/>
    <w:rsid w:val="004243F1"/>
    <w:rsid w:val="00442F98"/>
    <w:rsid w:val="004720F3"/>
    <w:rsid w:val="004E3214"/>
    <w:rsid w:val="005E5ABD"/>
    <w:rsid w:val="0062247B"/>
    <w:rsid w:val="0066544C"/>
    <w:rsid w:val="008A1D0C"/>
    <w:rsid w:val="00AF75DC"/>
    <w:rsid w:val="00BA0301"/>
    <w:rsid w:val="00D53536"/>
    <w:rsid w:val="00E422D1"/>
    <w:rsid w:val="00EC618B"/>
    <w:rsid w:val="00ED5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1B62"/>
  <w15:chartTrackingRefBased/>
  <w15:docId w15:val="{03898501-9AF6-4C5A-8498-5FC04476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44C"/>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544C"/>
    <w:pPr>
      <w:ind w:left="720"/>
      <w:contextualSpacing/>
    </w:pPr>
  </w:style>
  <w:style w:type="paragraph" w:styleId="Nagwek">
    <w:name w:val="header"/>
    <w:basedOn w:val="Normalny"/>
    <w:link w:val="NagwekZnak"/>
    <w:uiPriority w:val="99"/>
    <w:unhideWhenUsed/>
    <w:rsid w:val="005E5A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5ABD"/>
    <w:rPr>
      <w:rFonts w:ascii="Calibri" w:eastAsia="Calibri" w:hAnsi="Calibri" w:cs="Times New Roman"/>
    </w:rPr>
  </w:style>
  <w:style w:type="paragraph" w:styleId="Stopka">
    <w:name w:val="footer"/>
    <w:basedOn w:val="Normalny"/>
    <w:link w:val="StopkaZnak"/>
    <w:uiPriority w:val="99"/>
    <w:unhideWhenUsed/>
    <w:rsid w:val="005E5A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A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U012</dc:creator>
  <cp:keywords/>
  <dc:description/>
  <cp:lastModifiedBy>U012</cp:lastModifiedBy>
  <cp:revision>9</cp:revision>
  <cp:lastPrinted>2024-02-13T12:11:00Z</cp:lastPrinted>
  <dcterms:created xsi:type="dcterms:W3CDTF">2024-02-12T13:39:00Z</dcterms:created>
  <dcterms:modified xsi:type="dcterms:W3CDTF">2024-02-13T12:58:00Z</dcterms:modified>
</cp:coreProperties>
</file>