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30F6" w14:textId="06720749" w:rsidR="00CA4FA2" w:rsidRDefault="00CA4FA2" w:rsidP="00CA4FA2">
      <w:pPr>
        <w:pStyle w:val="Default"/>
        <w:rPr>
          <w:rFonts w:ascii="Sylfaen" w:hAnsi="Sylfaen"/>
          <w:sz w:val="22"/>
          <w:szCs w:val="22"/>
        </w:rPr>
      </w:pPr>
      <w:r>
        <w:rPr>
          <w:rFonts w:ascii="Sylfaen" w:hAnsi="Sylfaen"/>
          <w:noProof/>
          <w:sz w:val="22"/>
          <w:szCs w:val="22"/>
        </w:rPr>
        <w:drawing>
          <wp:inline distT="0" distB="0" distL="0" distR="0" wp14:anchorId="47318EE7" wp14:editId="03808AFE">
            <wp:extent cx="5760720" cy="635635"/>
            <wp:effectExtent l="0" t="0" r="0" b="0"/>
            <wp:docPr id="8138723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911AE" w14:textId="1F99CF22" w:rsidR="00EF6175" w:rsidRPr="00EF6175" w:rsidRDefault="00EF6175" w:rsidP="00EF6175">
      <w:pPr>
        <w:pStyle w:val="Default"/>
        <w:jc w:val="right"/>
        <w:rPr>
          <w:rFonts w:ascii="Sylfaen" w:hAnsi="Sylfaen"/>
          <w:sz w:val="22"/>
          <w:szCs w:val="22"/>
        </w:rPr>
      </w:pPr>
      <w:r w:rsidRPr="00EF6175">
        <w:rPr>
          <w:rFonts w:ascii="Sylfaen" w:hAnsi="Sylfaen"/>
          <w:sz w:val="22"/>
          <w:szCs w:val="22"/>
        </w:rPr>
        <w:t xml:space="preserve">Toruń, </w:t>
      </w:r>
      <w:r w:rsidR="00CA4FA2">
        <w:rPr>
          <w:rFonts w:ascii="Sylfaen" w:hAnsi="Sylfaen"/>
          <w:sz w:val="22"/>
          <w:szCs w:val="22"/>
        </w:rPr>
        <w:t>2023-09-2</w:t>
      </w:r>
      <w:r w:rsidR="00E20262">
        <w:rPr>
          <w:rFonts w:ascii="Sylfaen" w:hAnsi="Sylfaen"/>
          <w:sz w:val="22"/>
          <w:szCs w:val="22"/>
        </w:rPr>
        <w:t>2</w:t>
      </w:r>
    </w:p>
    <w:p w14:paraId="63C80AB0" w14:textId="77777777" w:rsidR="00EF6175" w:rsidRP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0C4EF0E9" w14:textId="77777777" w:rsidR="00EF6175" w:rsidRP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167BA9F6" w14:textId="77777777" w:rsid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7638D874" w14:textId="77777777" w:rsidR="00B20A12" w:rsidRDefault="00B20A12" w:rsidP="00EF6175">
      <w:pPr>
        <w:pStyle w:val="Default"/>
        <w:rPr>
          <w:rFonts w:ascii="Sylfaen" w:hAnsi="Sylfaen"/>
          <w:sz w:val="22"/>
          <w:szCs w:val="22"/>
        </w:rPr>
      </w:pPr>
    </w:p>
    <w:p w14:paraId="074B390F" w14:textId="25F56EF7" w:rsidR="00B20A12" w:rsidRPr="00A74649" w:rsidRDefault="00B20A12" w:rsidP="00AE0332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L.dz. SSM.DZP.200.</w:t>
      </w:r>
      <w:r w:rsidR="00CA4FA2">
        <w:rPr>
          <w:rFonts w:ascii="Sylfaen" w:hAnsi="Sylfaen"/>
          <w:sz w:val="22"/>
          <w:szCs w:val="22"/>
        </w:rPr>
        <w:t>83</w:t>
      </w:r>
      <w:r>
        <w:rPr>
          <w:rFonts w:ascii="Sylfaen" w:hAnsi="Sylfaen"/>
          <w:sz w:val="22"/>
          <w:szCs w:val="22"/>
        </w:rPr>
        <w:t>.</w:t>
      </w:r>
      <w:r w:rsidRPr="00A74649">
        <w:rPr>
          <w:rFonts w:ascii="Sylfaen" w:hAnsi="Sylfaen"/>
          <w:sz w:val="22"/>
          <w:szCs w:val="22"/>
        </w:rPr>
        <w:t>202</w:t>
      </w:r>
      <w:r>
        <w:rPr>
          <w:rFonts w:ascii="Sylfaen" w:hAnsi="Sylfaen"/>
          <w:sz w:val="22"/>
          <w:szCs w:val="22"/>
        </w:rPr>
        <w:t>3</w:t>
      </w:r>
    </w:p>
    <w:p w14:paraId="6BD8BB55" w14:textId="77777777" w:rsidR="00B20A12" w:rsidRPr="00A74649" w:rsidRDefault="00B20A12" w:rsidP="00AE0332">
      <w:pPr>
        <w:jc w:val="both"/>
        <w:rPr>
          <w:rFonts w:ascii="Sylfaen" w:hAnsi="Sylfaen"/>
          <w:sz w:val="22"/>
          <w:szCs w:val="22"/>
        </w:rPr>
      </w:pPr>
    </w:p>
    <w:p w14:paraId="74978AC6" w14:textId="0C2D5BFF" w:rsidR="00B20A12" w:rsidRPr="00B20A12" w:rsidRDefault="00B20A12" w:rsidP="00AE0332">
      <w:pPr>
        <w:pStyle w:val="Nagwek2"/>
        <w:jc w:val="both"/>
        <w:rPr>
          <w:color w:val="auto"/>
          <w:u w:val="single"/>
        </w:rPr>
      </w:pPr>
      <w:r w:rsidRPr="00B20A12">
        <w:rPr>
          <w:rFonts w:ascii="Sylfaen" w:hAnsi="Sylfaen"/>
          <w:color w:val="auto"/>
          <w:sz w:val="22"/>
          <w:szCs w:val="22"/>
          <w:u w:val="single"/>
        </w:rPr>
        <w:t xml:space="preserve">dotyczy: postępowania o udzielenie zamówienia publicznego w trybie przetargu nieograniczonego na dostawę </w:t>
      </w:r>
      <w:r w:rsidR="00CA4FA2">
        <w:rPr>
          <w:rFonts w:ascii="Sylfaen" w:hAnsi="Sylfaen"/>
          <w:color w:val="auto"/>
          <w:sz w:val="22"/>
          <w:szCs w:val="22"/>
          <w:u w:val="single"/>
        </w:rPr>
        <w:t>sprzętu i aparatury medycznej</w:t>
      </w:r>
      <w:r w:rsidR="00C756CE">
        <w:rPr>
          <w:rFonts w:ascii="Sylfaen" w:hAnsi="Sylfaen"/>
          <w:color w:val="auto"/>
          <w:sz w:val="22"/>
          <w:szCs w:val="22"/>
          <w:u w:val="single"/>
        </w:rPr>
        <w:t>.</w:t>
      </w:r>
    </w:p>
    <w:p w14:paraId="08115A9D" w14:textId="77777777" w:rsidR="000B48BC" w:rsidRDefault="000B48BC" w:rsidP="00B20A12">
      <w:pPr>
        <w:jc w:val="both"/>
        <w:rPr>
          <w:rFonts w:ascii="Sylfaen" w:hAnsi="Sylfaen"/>
          <w:sz w:val="16"/>
          <w:szCs w:val="16"/>
        </w:rPr>
      </w:pPr>
    </w:p>
    <w:p w14:paraId="09D59A2F" w14:textId="1744A8BB" w:rsidR="000B48BC" w:rsidRDefault="000B48BC" w:rsidP="00B20A12">
      <w:pPr>
        <w:jc w:val="both"/>
        <w:rPr>
          <w:rFonts w:ascii="Sylfaen" w:hAnsi="Sylfaen"/>
          <w:sz w:val="16"/>
          <w:szCs w:val="16"/>
        </w:rPr>
      </w:pPr>
    </w:p>
    <w:p w14:paraId="6C217D61" w14:textId="25A3B871" w:rsidR="000B48BC" w:rsidRPr="00EF6175" w:rsidRDefault="000B48BC" w:rsidP="000B48BC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EF6175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 w:rsidR="004C5F77">
        <w:rPr>
          <w:rFonts w:ascii="Sylfaen" w:hAnsi="Sylfaen" w:cs="Times New Roman"/>
          <w:b w:val="0"/>
          <w:sz w:val="22"/>
          <w:szCs w:val="22"/>
          <w:lang w:val="pl-PL"/>
        </w:rPr>
        <w:t>05</w:t>
      </w:r>
      <w:r w:rsidRPr="00EF6175">
        <w:rPr>
          <w:rFonts w:ascii="Sylfaen" w:hAnsi="Sylfaen" w:cs="Times New Roman"/>
          <w:b w:val="0"/>
          <w:sz w:val="22"/>
          <w:szCs w:val="22"/>
        </w:rPr>
        <w:t>.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0</w:t>
      </w:r>
      <w:r w:rsidR="004C5F77">
        <w:rPr>
          <w:rFonts w:ascii="Sylfaen" w:hAnsi="Sylfaen" w:cs="Times New Roman"/>
          <w:b w:val="0"/>
          <w:sz w:val="22"/>
          <w:szCs w:val="22"/>
          <w:lang w:val="pl-PL"/>
        </w:rPr>
        <w:t>6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.</w:t>
      </w:r>
      <w:r w:rsidRPr="00EF6175">
        <w:rPr>
          <w:rFonts w:ascii="Sylfaen" w:hAnsi="Sylfaen" w:cs="Times New Roman"/>
          <w:b w:val="0"/>
          <w:sz w:val="22"/>
          <w:szCs w:val="22"/>
        </w:rPr>
        <w:t>202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r. pytani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 xml:space="preserve">ami 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 xml:space="preserve"> ich treści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ych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ach.</w:t>
      </w:r>
    </w:p>
    <w:p w14:paraId="77894833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0F411587" w14:textId="77777777" w:rsidR="004C5F77" w:rsidRPr="004D458E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TimesNewRomanPSMT"/>
          <w:color w:val="000000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TimesNewRomanPSMT"/>
          <w:color w:val="000000"/>
          <w:kern w:val="0"/>
          <w:sz w:val="22"/>
          <w:szCs w:val="22"/>
          <w:lang w:eastAsia="en-US" w:bidi="ar-SA"/>
          <w14:ligatures w14:val="standardContextual"/>
        </w:rPr>
        <w:t>Pytania:</w:t>
      </w:r>
    </w:p>
    <w:p w14:paraId="5B7A1D43" w14:textId="77777777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  <w:t>Część nr. 9- Zestaw monitorowania pacjenta</w:t>
      </w:r>
    </w:p>
    <w:p w14:paraId="65E73195" w14:textId="1B3328B8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  <w:t xml:space="preserve">1.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Czy Zamawiający może doprecyzować, ile kardiomonitorów planuje zakupić w</w:t>
      </w:r>
      <w:r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powyższym</w:t>
      </w:r>
      <w:r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postępowaniu oraz czy w zestawie znajduję się stanowisko centralnego</w:t>
      </w:r>
      <w:r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monitorowania?</w:t>
      </w:r>
    </w:p>
    <w:p w14:paraId="4D069D53" w14:textId="71D2B8B5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  <w:t>Ad.1 - 1</w:t>
      </w:r>
    </w:p>
    <w:p w14:paraId="6E98D3F4" w14:textId="0BACB52C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  <w:t xml:space="preserve">2. Pkt.9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Czy Zamawiający zrezygnuje z wymogu kompatybilności monitora z posiadaną</w:t>
      </w:r>
      <w:r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centralą CMS </w:t>
      </w:r>
      <w:proofErr w:type="spellStart"/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Mindray</w:t>
      </w:r>
      <w:proofErr w:type="spellEnd"/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? Powyższy zapis uniemożliwia złożenie oferty konkurencyjnej</w:t>
      </w:r>
      <w:r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co w znaczący sposób ograniczą liczbę potencjalnych oferentów a tym bardziej, iż</w:t>
      </w:r>
      <w:r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tytuł zamówienia wskazuje, iż zakup dotyczy zestawu monitorowania a nie tylko</w:t>
      </w:r>
      <w:r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jednego kardiomonitora.</w:t>
      </w:r>
    </w:p>
    <w:p w14:paraId="24CECD95" w14:textId="4D09E1CB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Ad. 2</w:t>
      </w:r>
    </w:p>
    <w:p w14:paraId="0F1FED56" w14:textId="3E8A1C60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Zamawiający podtrzymuje zapisy SWZ.</w:t>
      </w:r>
    </w:p>
    <w:p w14:paraId="69C41FB8" w14:textId="32B90865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  <w:t xml:space="preserve">3. Pkt.14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Czy Zamawiający dopuści do postępowania kardiomonitor z funkcją analizy</w:t>
      </w:r>
      <w:r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arytmii w zakresie 26 zaburzeń wraz z możliwością konfiguracji alarmów w zakresie</w:t>
      </w:r>
    </w:p>
    <w:p w14:paraId="02FEF854" w14:textId="1FE65B96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2 poziomów. Jednoczesna analiza sygnałów EKG i SpO2 w celu eliminacji</w:t>
      </w:r>
      <w:r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fałszywych alarmów arytmii jest funkcją posiadaną przez jednego producenta</w:t>
      </w:r>
      <w:r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kardiomonitorów tj. firmę </w:t>
      </w:r>
      <w:proofErr w:type="spellStart"/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Mindray</w:t>
      </w:r>
      <w:proofErr w:type="spellEnd"/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 i w znaczący sposób ogranicza konkurencję.</w:t>
      </w:r>
    </w:p>
    <w:p w14:paraId="7195C2BB" w14:textId="50F2100E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Ad. 3</w:t>
      </w:r>
    </w:p>
    <w:p w14:paraId="5E291015" w14:textId="2F7B8826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Patrz modyfikacja SWZ.</w:t>
      </w:r>
    </w:p>
    <w:p w14:paraId="15FA8AEB" w14:textId="1302E8ED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  <w:t xml:space="preserve">4. Pkt.22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Czy Zamawiający dopuści do przetargu kardiomonitor z funkcją analizy NIBP</w:t>
      </w:r>
      <w:r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z ostatnich 24 godzin z informacją o wartościach ciśnienia; średniego, średniego za</w:t>
      </w:r>
      <w:r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dnia, średniego w nocy, maksymalnego, minimalnego, procentowego przekroczenia</w:t>
      </w:r>
      <w:r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górnego oraz dolnego limitu w granicach ustalonych alarmów?</w:t>
      </w:r>
    </w:p>
    <w:p w14:paraId="24F2723A" w14:textId="4BAD1BB6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  <w:t xml:space="preserve">Ad. 4 </w:t>
      </w:r>
    </w:p>
    <w:p w14:paraId="4943A9AB" w14:textId="0F6AA37F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  <w:t>Patrz modyfikacja SWZ.</w:t>
      </w:r>
    </w:p>
    <w:p w14:paraId="04CA0B29" w14:textId="11482DE0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  <w:t xml:space="preserve">5. Pkt.26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Czy Zamawiający dopuści do postępowania kardiomonitor z sygnalizacją</w:t>
      </w:r>
      <w:r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alarmową w zakresie 3 poziomów tj. Wysoki, średni oraz niski? W zależności od</w:t>
      </w:r>
      <w:r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ustawionego priorytetu alarmu, monitor będzie sygnalizować w z odpowiednim tonem</w:t>
      </w:r>
      <w:r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i głośnością.</w:t>
      </w:r>
    </w:p>
    <w:p w14:paraId="00BB3CB4" w14:textId="2471C1F2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Ad. 5 </w:t>
      </w:r>
    </w:p>
    <w:p w14:paraId="5B179293" w14:textId="0F13D793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Patrz modyfikacja SWZ</w:t>
      </w:r>
    </w:p>
    <w:p w14:paraId="04B0FF2A" w14:textId="77777777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</w:p>
    <w:p w14:paraId="561ADA5E" w14:textId="77777777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  <w:t>Część nr. 7- Defibrylator</w:t>
      </w:r>
    </w:p>
    <w:p w14:paraId="5F382402" w14:textId="77777777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  <w:t xml:space="preserve">1. Pkt.12,13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Czy Zamawiający dopuści defibrylator z czasem pracy na akumulatorze</w:t>
      </w:r>
    </w:p>
    <w:p w14:paraId="692EF776" w14:textId="488AF3C3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min. 240 minut monitorowania lub 120 defibrylacji z maksymalną energią 360J lub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280 defibrylacji z energią 200J? Jest niewielka różnica względem wymagań</w:t>
      </w:r>
      <w:r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Zamawiającego i nie będzie miała wpływu na komfort eksploatacji.</w:t>
      </w:r>
    </w:p>
    <w:p w14:paraId="0B32ABE8" w14:textId="77777777" w:rsidR="00AE0332" w:rsidRDefault="00AE0332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</w:pPr>
    </w:p>
    <w:p w14:paraId="1CFA08A9" w14:textId="28B38CF0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  <w:lastRenderedPageBreak/>
        <w:t>Ad. 1</w:t>
      </w:r>
    </w:p>
    <w:p w14:paraId="497418DB" w14:textId="7CC589EE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  <w:t>Zamawiający podtrzymuje zapisy SWZ.</w:t>
      </w:r>
    </w:p>
    <w:p w14:paraId="38CA16F9" w14:textId="7576C6B9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  <w:t xml:space="preserve">2. Pkt.16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Czy Zamawiający dopuści defibrylator z wydrukiem testu potwierdzającego</w:t>
      </w:r>
      <w:r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jego wykonanie z wydrukiem danych: data/godzina, wynik testu z dostępnym</w:t>
      </w:r>
      <w:r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archiwum przeprowadzonych testów z możliwością ponownego wydruku?</w:t>
      </w:r>
    </w:p>
    <w:p w14:paraId="38116CBB" w14:textId="1786CD3B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Ad. 2</w:t>
      </w:r>
    </w:p>
    <w:p w14:paraId="16C5A6C6" w14:textId="31DBE11C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Patrz modyfikacja SWZ.</w:t>
      </w:r>
    </w:p>
    <w:p w14:paraId="3BE0314A" w14:textId="77777777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  <w:t xml:space="preserve">3. Pkt.20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Czy Zamawiający dopuści defibrylator bez możliwości rozbudowy o czujnik</w:t>
      </w:r>
    </w:p>
    <w:p w14:paraId="22CFADC4" w14:textId="77777777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RKO?</w:t>
      </w:r>
    </w:p>
    <w:p w14:paraId="27725C09" w14:textId="77777777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Ad. 3</w:t>
      </w:r>
      <w:r w:rsidRPr="004D458E"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  <w:t xml:space="preserve"> </w:t>
      </w:r>
    </w:p>
    <w:p w14:paraId="30BB161A" w14:textId="23D7C376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  <w:t>Zamawiający podtrzymuje zapisy SWZ.</w:t>
      </w:r>
    </w:p>
    <w:p w14:paraId="1449EF6E" w14:textId="77777777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  <w:t xml:space="preserve">4. Pkt.27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Czy Zamawiający dopuści defibrylator z pamięcią min. 100 pacjentów, min.72</w:t>
      </w:r>
    </w:p>
    <w:p w14:paraId="7372FD6A" w14:textId="77777777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godzin trendów oraz ciągłym zapisem EKG z ostatnich 16 godzin?</w:t>
      </w:r>
    </w:p>
    <w:p w14:paraId="4EA26DF9" w14:textId="69419AC3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Ad. 4</w:t>
      </w:r>
    </w:p>
    <w:p w14:paraId="32C22833" w14:textId="06FAAD29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  <w:t>Zamawiający podtrzymuje zapisy SWZ.</w:t>
      </w:r>
    </w:p>
    <w:p w14:paraId="09107037" w14:textId="40E1F54C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  <w:t xml:space="preserve">5. Pkt.39/40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Czy Zamawiający dopuści defibrylator z energią defibrylacji w trybie AED</w:t>
      </w:r>
      <w:r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w zakresie 100-360J?</w:t>
      </w:r>
    </w:p>
    <w:p w14:paraId="5B5AC905" w14:textId="3A1939FF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Ad. 5</w:t>
      </w:r>
    </w:p>
    <w:p w14:paraId="1C92644B" w14:textId="77777777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Patrz modyfikacja SWZ.</w:t>
      </w:r>
    </w:p>
    <w:p w14:paraId="5F62684D" w14:textId="6ACB8D19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  <w:t xml:space="preserve">6. Pkt.47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Czy Zamawiający dopuści defibrylator z analizą arytmii realizowaną na</w:t>
      </w:r>
      <w:r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podstawie monitorowanych w czasie rzeczywistym sygnałów EKG?</w:t>
      </w:r>
    </w:p>
    <w:p w14:paraId="223BDC7B" w14:textId="27B65D84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  <w:t>Ad. 6</w:t>
      </w:r>
    </w:p>
    <w:p w14:paraId="756FCB23" w14:textId="77777777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Patrz modyfikacja SWZ.</w:t>
      </w:r>
    </w:p>
    <w:p w14:paraId="386BD234" w14:textId="3449C704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  <w:t xml:space="preserve">7. Pkt.54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Czy Zamawiający dopuści defibrylator z zakresem pomiarowym respiracji 0-</w:t>
      </w:r>
      <w:r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150 </w:t>
      </w:r>
      <w:proofErr w:type="spellStart"/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odd</w:t>
      </w:r>
      <w:proofErr w:type="spellEnd"/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./min?</w:t>
      </w:r>
    </w:p>
    <w:p w14:paraId="59E06426" w14:textId="2BB54441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  <w:t>Ad. 7</w:t>
      </w:r>
    </w:p>
    <w:p w14:paraId="3162F152" w14:textId="77777777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Patrz modyfikacja SWZ.</w:t>
      </w:r>
    </w:p>
    <w:p w14:paraId="17226891" w14:textId="0E37FC3D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  <w:t xml:space="preserve">8. Pkt.61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Czy Zamawiający dopuści defibrylator z zakresem pomiarowym SpO2 20-254</w:t>
      </w:r>
      <w:r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uderz./min.?</w:t>
      </w:r>
    </w:p>
    <w:p w14:paraId="50683E69" w14:textId="13B5DC73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  <w:t>Ad. 8</w:t>
      </w:r>
    </w:p>
    <w:p w14:paraId="44755513" w14:textId="77777777" w:rsidR="004D458E" w:rsidRPr="004D458E" w:rsidRDefault="004D458E" w:rsidP="004D458E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Patrz modyfikacja SWZ.</w:t>
      </w:r>
    </w:p>
    <w:p w14:paraId="3A8C3529" w14:textId="5DFFA52F" w:rsidR="004D458E" w:rsidRPr="004D458E" w:rsidRDefault="004D458E" w:rsidP="00AE0332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  <w:t xml:space="preserve">9. Pkt.67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Czy Zamawiający dopuści defibrylator z zakresem pomiarowym NIBP 10-270</w:t>
      </w:r>
      <w:r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mmHg?</w:t>
      </w:r>
    </w:p>
    <w:p w14:paraId="11C1B3D3" w14:textId="38E0397B" w:rsidR="004D458E" w:rsidRPr="004D458E" w:rsidRDefault="004D458E" w:rsidP="00AE0332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  <w:t>Ad. 9</w:t>
      </w:r>
    </w:p>
    <w:p w14:paraId="08B7CA46" w14:textId="77777777" w:rsidR="004D458E" w:rsidRPr="004D458E" w:rsidRDefault="004D458E" w:rsidP="00AE0332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Patrz modyfikacja SWZ.</w:t>
      </w:r>
    </w:p>
    <w:p w14:paraId="525E5A37" w14:textId="77777777" w:rsidR="004D458E" w:rsidRPr="004D458E" w:rsidRDefault="004D458E" w:rsidP="00AE0332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</w:pPr>
    </w:p>
    <w:p w14:paraId="2FE041C2" w14:textId="644DA50C" w:rsidR="004D458E" w:rsidRPr="004D458E" w:rsidRDefault="004D458E" w:rsidP="00AE0332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  <w:t>Część nr. 2- Ssak</w:t>
      </w:r>
    </w:p>
    <w:p w14:paraId="56A58E88" w14:textId="4AAF81CB" w:rsidR="004D458E" w:rsidRPr="004D458E" w:rsidRDefault="004D458E" w:rsidP="00AE0332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  <w:t xml:space="preserve">1. Pkt.4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Czy Zamawiający dopuści ssak jezdny z regulowanym zakresem siły ssania w</w:t>
      </w:r>
      <w:r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zakresie 0-93 Kpa?</w:t>
      </w:r>
    </w:p>
    <w:p w14:paraId="0F561487" w14:textId="6B411491" w:rsidR="004D458E" w:rsidRPr="004D458E" w:rsidRDefault="004D458E" w:rsidP="00AE0332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  <w:t xml:space="preserve">2. Pkt.7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Czy Zamawiający dopuści ssak jezdny wyposażony w dwa zbiorniki 2 litrowe</w:t>
      </w:r>
      <w:r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kompatybilne z wkładami jednorazowymi oraz współpracujące z jednym źródłem</w:t>
      </w:r>
      <w:r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ssania zabezpieczonym filtrem hydrofobowym?</w:t>
      </w:r>
    </w:p>
    <w:p w14:paraId="745E45C6" w14:textId="77777777" w:rsidR="004D458E" w:rsidRPr="004D458E" w:rsidRDefault="004D458E" w:rsidP="00AE0332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4D458E">
        <w:rPr>
          <w:rFonts w:ascii="Sylfaen" w:eastAsiaTheme="minorHAnsi" w:hAnsi="Sylfaen" w:cs="CIDFont+F5"/>
          <w:kern w:val="0"/>
          <w:sz w:val="22"/>
          <w:szCs w:val="22"/>
          <w:lang w:eastAsia="en-US" w:bidi="ar-SA"/>
          <w14:ligatures w14:val="standardContextual"/>
        </w:rPr>
        <w:t xml:space="preserve">3. Pkt.14 </w:t>
      </w: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Czy Zamawiający dopuści ssak jezdny, którego waga wynosi 12 kg a z</w:t>
      </w:r>
    </w:p>
    <w:p w14:paraId="12315DBD" w14:textId="0DD78E30" w:rsidR="004C5F77" w:rsidRPr="004D458E" w:rsidRDefault="004D458E" w:rsidP="00AE0332">
      <w:pPr>
        <w:rPr>
          <w:rFonts w:ascii="Sylfaen" w:hAnsi="Sylfaen"/>
          <w:sz w:val="22"/>
          <w:szCs w:val="22"/>
        </w:rPr>
      </w:pP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podstawą jezdną 21kg?</w:t>
      </w:r>
    </w:p>
    <w:p w14:paraId="0C50609A" w14:textId="77777777" w:rsidR="00AE0332" w:rsidRDefault="004D458E" w:rsidP="00AE0332">
      <w:pPr>
        <w:rPr>
          <w:rFonts w:ascii="Sylfaen" w:hAnsi="Sylfaen"/>
          <w:sz w:val="22"/>
          <w:szCs w:val="22"/>
        </w:rPr>
      </w:pPr>
      <w:r w:rsidRPr="004D458E">
        <w:rPr>
          <w:rFonts w:ascii="Sylfaen" w:hAnsi="Sylfaen"/>
          <w:sz w:val="22"/>
          <w:szCs w:val="22"/>
        </w:rPr>
        <w:t>Ad. 1-3</w:t>
      </w:r>
    </w:p>
    <w:p w14:paraId="265CF054" w14:textId="1AFD8E7F" w:rsidR="004D458E" w:rsidRPr="004D458E" w:rsidRDefault="004D458E" w:rsidP="00AE0332">
      <w:pPr>
        <w:rPr>
          <w:rFonts w:ascii="Sylfaen" w:hAnsi="Sylfaen"/>
          <w:sz w:val="22"/>
          <w:szCs w:val="22"/>
        </w:rPr>
      </w:pPr>
      <w:r w:rsidRPr="004D458E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Patrz modyfikacja SWZ.</w:t>
      </w:r>
    </w:p>
    <w:p w14:paraId="2741E78E" w14:textId="77777777" w:rsidR="004D458E" w:rsidRPr="00AE0332" w:rsidRDefault="004D458E" w:rsidP="004D458E">
      <w:pPr>
        <w:spacing w:line="360" w:lineRule="auto"/>
        <w:rPr>
          <w:rFonts w:ascii="Sylfaen" w:hAnsi="Sylfaen"/>
          <w:sz w:val="22"/>
          <w:szCs w:val="22"/>
        </w:rPr>
      </w:pPr>
    </w:p>
    <w:p w14:paraId="5CDE1B2D" w14:textId="4ABF9DB9" w:rsidR="00EC3052" w:rsidRPr="00AE0332" w:rsidRDefault="00EC3052" w:rsidP="00EC3052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AE0332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AE0332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AE0332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 w:rsidR="00AE0332" w:rsidRPr="00AE0332">
        <w:rPr>
          <w:rFonts w:ascii="Sylfaen" w:hAnsi="Sylfaen" w:cs="Times New Roman"/>
          <w:b w:val="0"/>
          <w:sz w:val="22"/>
          <w:szCs w:val="22"/>
          <w:lang w:val="pl-PL"/>
        </w:rPr>
        <w:t>29</w:t>
      </w:r>
      <w:r w:rsidRPr="00AE0332">
        <w:rPr>
          <w:rFonts w:ascii="Sylfaen" w:hAnsi="Sylfaen" w:cs="Times New Roman"/>
          <w:b w:val="0"/>
          <w:sz w:val="22"/>
          <w:szCs w:val="22"/>
        </w:rPr>
        <w:t>.</w:t>
      </w:r>
      <w:r w:rsidRPr="00AE0332">
        <w:rPr>
          <w:rFonts w:ascii="Sylfaen" w:hAnsi="Sylfaen" w:cs="Times New Roman"/>
          <w:b w:val="0"/>
          <w:sz w:val="22"/>
          <w:szCs w:val="22"/>
          <w:lang w:val="pl-PL"/>
        </w:rPr>
        <w:t>0</w:t>
      </w:r>
      <w:r w:rsidR="00AE0332" w:rsidRPr="00AE0332">
        <w:rPr>
          <w:rFonts w:ascii="Sylfaen" w:hAnsi="Sylfaen" w:cs="Times New Roman"/>
          <w:b w:val="0"/>
          <w:sz w:val="22"/>
          <w:szCs w:val="22"/>
          <w:lang w:val="pl-PL"/>
        </w:rPr>
        <w:t>5</w:t>
      </w:r>
      <w:r w:rsidRPr="00AE0332">
        <w:rPr>
          <w:rFonts w:ascii="Sylfaen" w:hAnsi="Sylfaen" w:cs="Times New Roman"/>
          <w:b w:val="0"/>
          <w:sz w:val="22"/>
          <w:szCs w:val="22"/>
          <w:lang w:val="pl-PL"/>
        </w:rPr>
        <w:t>.</w:t>
      </w:r>
      <w:r w:rsidRPr="00AE0332">
        <w:rPr>
          <w:rFonts w:ascii="Sylfaen" w:hAnsi="Sylfaen" w:cs="Times New Roman"/>
          <w:b w:val="0"/>
          <w:sz w:val="22"/>
          <w:szCs w:val="22"/>
        </w:rPr>
        <w:t>202</w:t>
      </w:r>
      <w:r w:rsidRPr="00AE0332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AE0332">
        <w:rPr>
          <w:rFonts w:ascii="Sylfaen" w:hAnsi="Sylfaen" w:cs="Times New Roman"/>
          <w:b w:val="0"/>
          <w:sz w:val="22"/>
          <w:szCs w:val="22"/>
        </w:rPr>
        <w:t xml:space="preserve"> r. pytani</w:t>
      </w:r>
      <w:r w:rsidRPr="00AE0332">
        <w:rPr>
          <w:rFonts w:ascii="Sylfaen" w:hAnsi="Sylfaen" w:cs="Times New Roman"/>
          <w:b w:val="0"/>
          <w:sz w:val="22"/>
          <w:szCs w:val="22"/>
          <w:lang w:val="pl-PL"/>
        </w:rPr>
        <w:t xml:space="preserve">ami </w:t>
      </w:r>
      <w:r w:rsidRPr="00AE0332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AE0332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AE0332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AE0332">
        <w:rPr>
          <w:rFonts w:ascii="Sylfaen" w:hAnsi="Sylfaen" w:cs="Times New Roman"/>
          <w:b w:val="0"/>
          <w:sz w:val="22"/>
          <w:szCs w:val="22"/>
          <w:lang w:val="pl-PL"/>
        </w:rPr>
        <w:t xml:space="preserve"> ich treści</w:t>
      </w:r>
      <w:r w:rsidRPr="00AE0332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Pr="00AE0332">
        <w:rPr>
          <w:rFonts w:ascii="Sylfaen" w:hAnsi="Sylfaen" w:cs="Times New Roman"/>
          <w:b w:val="0"/>
          <w:sz w:val="22"/>
          <w:szCs w:val="22"/>
          <w:lang w:val="pl-PL"/>
        </w:rPr>
        <w:t>ych</w:t>
      </w:r>
      <w:r w:rsidRPr="00AE0332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Pr="00AE0332">
        <w:rPr>
          <w:rFonts w:ascii="Sylfaen" w:hAnsi="Sylfaen" w:cs="Times New Roman"/>
          <w:b w:val="0"/>
          <w:sz w:val="22"/>
          <w:szCs w:val="22"/>
          <w:lang w:val="pl-PL"/>
        </w:rPr>
        <w:t>ach.</w:t>
      </w:r>
    </w:p>
    <w:p w14:paraId="37F0DDC4" w14:textId="77777777" w:rsidR="004C5F77" w:rsidRPr="00AE0332" w:rsidRDefault="004C5F77" w:rsidP="00B20A12">
      <w:pPr>
        <w:jc w:val="both"/>
        <w:rPr>
          <w:rFonts w:ascii="Sylfaen" w:hAnsi="Sylfaen"/>
          <w:sz w:val="22"/>
          <w:szCs w:val="22"/>
        </w:rPr>
      </w:pPr>
    </w:p>
    <w:p w14:paraId="1118DDD3" w14:textId="77777777" w:rsidR="00EC3052" w:rsidRPr="00AE0332" w:rsidRDefault="00EC3052" w:rsidP="00EC3052">
      <w:pPr>
        <w:spacing w:line="276" w:lineRule="auto"/>
        <w:rPr>
          <w:rFonts w:ascii="Sylfaen" w:eastAsia="Times New Roman" w:hAnsi="Sylfaen" w:cstheme="minorHAnsi"/>
          <w:bCs/>
          <w:sz w:val="22"/>
          <w:szCs w:val="22"/>
          <w:lang w:eastAsia="en-US" w:bidi="ar-SA"/>
        </w:rPr>
      </w:pPr>
      <w:r w:rsidRPr="00AE0332">
        <w:rPr>
          <w:rFonts w:ascii="Sylfaen" w:eastAsia="Calibri" w:hAnsi="Sylfaen" w:cstheme="minorHAnsi"/>
          <w:bCs/>
          <w:sz w:val="22"/>
          <w:szCs w:val="22"/>
          <w:lang w:eastAsia="en-US"/>
        </w:rPr>
        <w:t xml:space="preserve">Czy Zamawiający, dopuści do przetargu na zasadzie równoważności defibrylator </w:t>
      </w:r>
      <w:r w:rsidRPr="00AE0332">
        <w:rPr>
          <w:rFonts w:ascii="Sylfaen" w:hAnsi="Sylfaen" w:cstheme="minorHAnsi"/>
          <w:bCs/>
          <w:sz w:val="22"/>
          <w:szCs w:val="22"/>
        </w:rPr>
        <w:t>fabrycznie nowy, nieużywany, niedemonstracyjny, nie powystawowy, przenośny z wbudowanym uchwytem transportowym</w:t>
      </w:r>
      <w:r w:rsidRPr="00AE0332">
        <w:rPr>
          <w:rFonts w:ascii="Sylfaen" w:eastAsia="Calibri" w:hAnsi="Sylfaen" w:cstheme="minorHAnsi"/>
          <w:bCs/>
          <w:sz w:val="22"/>
          <w:szCs w:val="22"/>
          <w:lang w:eastAsia="en-US"/>
        </w:rPr>
        <w:t xml:space="preserve"> o następujących parametrach: </w:t>
      </w:r>
      <w:r w:rsidRPr="00AE0332">
        <w:rPr>
          <w:rFonts w:ascii="Sylfaen" w:hAnsi="Sylfaen" w:cstheme="minorHAnsi"/>
          <w:bCs/>
          <w:sz w:val="22"/>
          <w:szCs w:val="22"/>
          <w:lang w:eastAsia="en-US"/>
        </w:rPr>
        <w:t xml:space="preserve"> </w:t>
      </w:r>
    </w:p>
    <w:p w14:paraId="0202AD31" w14:textId="3405CDA3" w:rsidR="00EC3052" w:rsidRPr="00AE0332" w:rsidRDefault="00EC3052" w:rsidP="00EC3052">
      <w:pPr>
        <w:spacing w:line="276" w:lineRule="auto"/>
        <w:rPr>
          <w:rFonts w:ascii="Sylfaen" w:hAnsi="Sylfaen" w:cstheme="minorHAnsi"/>
          <w:bCs/>
          <w:sz w:val="22"/>
          <w:szCs w:val="22"/>
          <w:lang w:eastAsia="en-US"/>
        </w:rPr>
      </w:pPr>
      <w:r w:rsidRPr="00AE0332">
        <w:rPr>
          <w:rFonts w:ascii="Sylfaen" w:hAnsi="Sylfaen" w:cstheme="minorHAnsi"/>
          <w:bCs/>
          <w:sz w:val="22"/>
          <w:szCs w:val="22"/>
          <w:lang w:eastAsia="en-US"/>
        </w:rPr>
        <w:lastRenderedPageBreak/>
        <w:t>Pytanie nr 1</w:t>
      </w:r>
    </w:p>
    <w:p w14:paraId="3BBAD37E" w14:textId="77777777" w:rsidR="00EC3052" w:rsidRPr="00AE0332" w:rsidRDefault="00EC3052" w:rsidP="00EC3052">
      <w:pPr>
        <w:spacing w:line="276" w:lineRule="auto"/>
        <w:rPr>
          <w:rFonts w:ascii="Sylfaen" w:hAnsi="Sylfaen" w:cstheme="minorHAnsi"/>
          <w:bCs/>
          <w:sz w:val="22"/>
          <w:szCs w:val="22"/>
          <w:lang w:eastAsia="ar-SA"/>
        </w:rPr>
      </w:pPr>
      <w:r w:rsidRPr="00AE0332">
        <w:rPr>
          <w:rFonts w:ascii="Sylfaen" w:hAnsi="Sylfaen" w:cstheme="minorHAnsi"/>
          <w:bCs/>
          <w:sz w:val="22"/>
          <w:szCs w:val="22"/>
          <w:lang w:eastAsia="en-US"/>
        </w:rPr>
        <w:t xml:space="preserve">Ad.3. </w:t>
      </w:r>
      <w:r w:rsidRPr="00AE0332">
        <w:rPr>
          <w:rFonts w:ascii="Sylfaen" w:hAnsi="Sylfaen" w:cstheme="minorHAnsi"/>
          <w:bCs/>
          <w:sz w:val="22"/>
          <w:szCs w:val="22"/>
        </w:rPr>
        <w:t xml:space="preserve">Defibrylator o wadze 8,6 kg z łyżkami do defibrylacji zewnętrznej, </w:t>
      </w:r>
      <w:r w:rsidRPr="00AE0332">
        <w:rPr>
          <w:rFonts w:ascii="Sylfaen" w:eastAsia="MinionPro-Regular" w:hAnsi="Sylfaen" w:cstheme="minorHAnsi"/>
          <w:bCs/>
          <w:sz w:val="22"/>
          <w:szCs w:val="22"/>
          <w:lang w:eastAsia="en-US"/>
        </w:rPr>
        <w:t>dwoma akumulatorami, rejestrator/drukarka</w:t>
      </w:r>
      <w:r w:rsidRPr="00AE0332">
        <w:rPr>
          <w:rFonts w:ascii="Sylfaen" w:hAnsi="Sylfaen" w:cstheme="minorHAnsi"/>
          <w:bCs/>
          <w:sz w:val="22"/>
          <w:szCs w:val="22"/>
        </w:rPr>
        <w:t>, wbudowany uchwyt do przenoszenia.</w:t>
      </w:r>
    </w:p>
    <w:p w14:paraId="09506671" w14:textId="77777777" w:rsidR="00EC3052" w:rsidRPr="00AE0332" w:rsidRDefault="00EC3052" w:rsidP="00EC3052">
      <w:pPr>
        <w:spacing w:line="276" w:lineRule="auto"/>
        <w:rPr>
          <w:rFonts w:ascii="Sylfaen" w:hAnsi="Sylfaen" w:cstheme="minorHAnsi"/>
          <w:bCs/>
          <w:sz w:val="22"/>
          <w:szCs w:val="22"/>
        </w:rPr>
      </w:pPr>
      <w:r w:rsidRPr="00AE0332">
        <w:rPr>
          <w:rFonts w:ascii="Sylfaen" w:hAnsi="Sylfaen" w:cstheme="minorHAnsi"/>
          <w:bCs/>
          <w:sz w:val="22"/>
          <w:szCs w:val="22"/>
        </w:rPr>
        <w:t>Ad.10. Defibrylator wyposażony w łyżki defibracyjne oraz nakładki pediatryczne</w:t>
      </w:r>
    </w:p>
    <w:p w14:paraId="6C76A31D" w14:textId="77777777" w:rsidR="00EC3052" w:rsidRPr="00AE0332" w:rsidRDefault="00EC3052" w:rsidP="00EC3052">
      <w:pPr>
        <w:pStyle w:val="TableParagraph"/>
        <w:tabs>
          <w:tab w:val="left" w:pos="792"/>
        </w:tabs>
        <w:spacing w:line="256" w:lineRule="auto"/>
        <w:ind w:right="60"/>
        <w:rPr>
          <w:rFonts w:ascii="Sylfaen" w:hAnsi="Sylfaen" w:cstheme="minorHAnsi"/>
          <w:bCs/>
        </w:rPr>
      </w:pPr>
      <w:r w:rsidRPr="00AE0332">
        <w:rPr>
          <w:rFonts w:ascii="Sylfaen" w:hAnsi="Sylfaen" w:cstheme="minorHAnsi"/>
          <w:bCs/>
        </w:rPr>
        <w:t xml:space="preserve">Ad.12. Zasilanie akumulatorowe: akumulatory </w:t>
      </w:r>
      <w:proofErr w:type="spellStart"/>
      <w:r w:rsidRPr="00AE0332">
        <w:rPr>
          <w:rFonts w:ascii="Sylfaen" w:hAnsi="Sylfaen" w:cstheme="minorHAnsi"/>
          <w:bCs/>
        </w:rPr>
        <w:t>litowo</w:t>
      </w:r>
      <w:proofErr w:type="spellEnd"/>
      <w:r w:rsidRPr="00AE0332">
        <w:rPr>
          <w:rFonts w:ascii="Sylfaen" w:hAnsi="Sylfaen" w:cstheme="minorHAnsi"/>
          <w:bCs/>
        </w:rPr>
        <w:t xml:space="preserve">-jonowe zapewniające: </w:t>
      </w:r>
    </w:p>
    <w:p w14:paraId="1E5C73DE" w14:textId="77777777" w:rsidR="00EC3052" w:rsidRPr="00AE0332" w:rsidRDefault="00EC3052" w:rsidP="00EC3052">
      <w:pPr>
        <w:suppressAutoHyphens w:val="0"/>
        <w:autoSpaceDE w:val="0"/>
        <w:autoSpaceDN w:val="0"/>
        <w:adjustRightInd w:val="0"/>
        <w:rPr>
          <w:rFonts w:ascii="Sylfaen" w:eastAsiaTheme="minorHAnsi" w:hAnsi="Sylfaen" w:cstheme="minorHAnsi"/>
          <w:bCs/>
          <w:sz w:val="22"/>
          <w:szCs w:val="22"/>
          <w:lang w:eastAsia="en-US"/>
        </w:rPr>
      </w:pPr>
      <w:r w:rsidRPr="00AE0332">
        <w:rPr>
          <w:rFonts w:ascii="Sylfaen" w:eastAsiaTheme="minorHAnsi" w:hAnsi="Sylfaen" w:cstheme="minorHAnsi"/>
          <w:bCs/>
          <w:sz w:val="22"/>
          <w:szCs w:val="22"/>
          <w:lang w:eastAsia="en-US"/>
        </w:rPr>
        <w:t xml:space="preserve">Monitorowanie: </w:t>
      </w:r>
      <w:r w:rsidRPr="00AE0332">
        <w:rPr>
          <w:rFonts w:ascii="Sylfaen" w:eastAsia="MinionPro-Regular" w:hAnsi="Sylfaen" w:cstheme="minorHAnsi"/>
          <w:bCs/>
          <w:sz w:val="22"/>
          <w:szCs w:val="22"/>
          <w:lang w:eastAsia="en-US"/>
        </w:rPr>
        <w:t xml:space="preserve">360 minut; </w:t>
      </w:r>
      <w:r w:rsidRPr="00AE0332">
        <w:rPr>
          <w:rFonts w:ascii="Sylfaen" w:eastAsiaTheme="minorHAnsi" w:hAnsi="Sylfaen" w:cstheme="minorHAnsi"/>
          <w:bCs/>
          <w:sz w:val="22"/>
          <w:szCs w:val="22"/>
          <w:lang w:eastAsia="en-US"/>
        </w:rPr>
        <w:t xml:space="preserve">Defibrylacja: </w:t>
      </w:r>
      <w:r w:rsidRPr="00AE0332">
        <w:rPr>
          <w:rFonts w:ascii="Sylfaen" w:eastAsia="MinionPro-Regular" w:hAnsi="Sylfaen" w:cstheme="minorHAnsi"/>
          <w:bCs/>
          <w:sz w:val="22"/>
          <w:szCs w:val="22"/>
          <w:lang w:eastAsia="en-US"/>
        </w:rPr>
        <w:t>wyładowania z</w:t>
      </w:r>
      <w:r w:rsidRPr="00AE0332">
        <w:rPr>
          <w:rFonts w:ascii="Sylfaen" w:eastAsiaTheme="minorHAnsi" w:hAnsi="Sylfaen" w:cstheme="minorHAnsi"/>
          <w:bCs/>
          <w:sz w:val="22"/>
          <w:szCs w:val="22"/>
          <w:lang w:eastAsia="en-US"/>
        </w:rPr>
        <w:t xml:space="preserve"> </w:t>
      </w:r>
      <w:r w:rsidRPr="00AE0332">
        <w:rPr>
          <w:rFonts w:ascii="Sylfaen" w:eastAsia="MinionPro-Regular" w:hAnsi="Sylfaen" w:cstheme="minorHAnsi"/>
          <w:bCs/>
          <w:sz w:val="22"/>
          <w:szCs w:val="22"/>
          <w:lang w:eastAsia="en-US"/>
        </w:rPr>
        <w:t xml:space="preserve">energią 360 J – 420; </w:t>
      </w:r>
      <w:r w:rsidRPr="00AE0332">
        <w:rPr>
          <w:rFonts w:ascii="Sylfaen" w:eastAsiaTheme="minorHAnsi" w:hAnsi="Sylfaen" w:cstheme="minorHAnsi"/>
          <w:bCs/>
          <w:sz w:val="22"/>
          <w:szCs w:val="22"/>
          <w:lang w:eastAsia="en-US"/>
        </w:rPr>
        <w:t xml:space="preserve">Elektrostymulacja: </w:t>
      </w:r>
      <w:r w:rsidRPr="00AE0332">
        <w:rPr>
          <w:rFonts w:ascii="Sylfaen" w:eastAsia="MinionPro-Regular" w:hAnsi="Sylfaen" w:cstheme="minorHAnsi"/>
          <w:bCs/>
          <w:sz w:val="22"/>
          <w:szCs w:val="22"/>
          <w:lang w:eastAsia="en-US"/>
        </w:rPr>
        <w:t>320 minut.</w:t>
      </w:r>
    </w:p>
    <w:p w14:paraId="5BD5C784" w14:textId="77777777" w:rsidR="00EC3052" w:rsidRPr="00AE0332" w:rsidRDefault="00EC3052" w:rsidP="00EC3052">
      <w:pPr>
        <w:spacing w:line="276" w:lineRule="auto"/>
        <w:rPr>
          <w:rFonts w:ascii="Sylfaen" w:eastAsia="Times New Roman" w:hAnsi="Sylfaen" w:cstheme="minorHAnsi"/>
          <w:bCs/>
          <w:sz w:val="22"/>
          <w:szCs w:val="22"/>
          <w:lang w:eastAsia="en-US"/>
        </w:rPr>
      </w:pPr>
      <w:r w:rsidRPr="00AE0332">
        <w:rPr>
          <w:rFonts w:ascii="Sylfaen" w:hAnsi="Sylfaen" w:cstheme="minorHAnsi"/>
          <w:bCs/>
          <w:sz w:val="22"/>
          <w:szCs w:val="22"/>
          <w:lang w:eastAsia="en-US"/>
        </w:rPr>
        <w:t xml:space="preserve">Ad.14. </w:t>
      </w:r>
      <w:r w:rsidRPr="00AE0332">
        <w:rPr>
          <w:rFonts w:ascii="Sylfaen" w:hAnsi="Sylfaen" w:cstheme="minorHAnsi"/>
          <w:bCs/>
          <w:sz w:val="22"/>
          <w:szCs w:val="22"/>
        </w:rPr>
        <w:t>Zasilanie i ładowanie akumulatorów bezpośrednio z sieci napięcia zmiennego 230 V (zasilacz w zestawie z defibrylatorem)</w:t>
      </w:r>
    </w:p>
    <w:p w14:paraId="3353F1D0" w14:textId="77777777" w:rsidR="00EC3052" w:rsidRPr="00AE0332" w:rsidRDefault="00EC3052" w:rsidP="00EC3052">
      <w:pPr>
        <w:pStyle w:val="Default"/>
        <w:rPr>
          <w:rFonts w:ascii="Sylfaen" w:hAnsi="Sylfaen" w:cstheme="minorHAnsi"/>
          <w:bCs/>
          <w:sz w:val="22"/>
          <w:szCs w:val="22"/>
        </w:rPr>
      </w:pPr>
      <w:r w:rsidRPr="00AE0332">
        <w:rPr>
          <w:rFonts w:ascii="Sylfaen" w:hAnsi="Sylfaen" w:cstheme="minorHAnsi"/>
          <w:bCs/>
          <w:sz w:val="22"/>
          <w:szCs w:val="22"/>
        </w:rPr>
        <w:t>Ad.15,16. Funkcja codziennego auto testu, bez potrzeby włączania urządzenia i bez udziału Użytkownika, z wydrukiem potwierdzającym jego wykonanie, zawierającym: datę, numer seryjny aparatu, wynik testu, godzina auto testu 03:00. Możliwość wykonania auto testu z wydrukiem i przesłaniem danych do działu technicznego, koordynatora medycznego (wymaga podłączenia modemu).</w:t>
      </w:r>
    </w:p>
    <w:p w14:paraId="367090C1" w14:textId="77777777" w:rsidR="00EC3052" w:rsidRPr="00AE0332" w:rsidRDefault="00EC3052" w:rsidP="00EC3052">
      <w:pPr>
        <w:suppressAutoHyphens w:val="0"/>
        <w:autoSpaceDE w:val="0"/>
        <w:autoSpaceDN w:val="0"/>
        <w:adjustRightInd w:val="0"/>
        <w:rPr>
          <w:rFonts w:ascii="Sylfaen" w:eastAsia="HelveticaNeueLTPro-Roman" w:hAnsi="Sylfaen" w:cstheme="minorHAnsi"/>
          <w:bCs/>
          <w:sz w:val="22"/>
          <w:szCs w:val="22"/>
          <w:lang w:eastAsia="en-US"/>
        </w:rPr>
      </w:pPr>
      <w:r w:rsidRPr="00AE0332">
        <w:rPr>
          <w:rFonts w:ascii="Sylfaen" w:hAnsi="Sylfaen" w:cstheme="minorHAnsi"/>
          <w:bCs/>
          <w:sz w:val="22"/>
          <w:szCs w:val="22"/>
        </w:rPr>
        <w:t xml:space="preserve">Ad.17,18,19. </w:t>
      </w:r>
      <w:r w:rsidRPr="00AE0332">
        <w:rPr>
          <w:rFonts w:ascii="Sylfaen" w:eastAsia="HelveticaNeueLTPro-Roman" w:hAnsi="Sylfaen" w:cstheme="minorHAnsi"/>
          <w:bCs/>
          <w:sz w:val="22"/>
          <w:szCs w:val="22"/>
          <w:lang w:eastAsia="en-US"/>
        </w:rPr>
        <w:t xml:space="preserve">Możliwość przesyłania raportów o pacjentach przy użyciu następujących metod: bezprzewodowe połączenie Bluetooth, bezpośrednie połączenie przewodowe między defibrylatorem a komputerem lub bramą i przesyłać dane za pośrednictwem połączenia przewodowego. Aparat jest zgodny z częścią 15 norm FCC, złącze szeregowe Komunikacja RS232; Dostępne napięcie +12 V. Po włączeniu defibrylatora jest tworzony zapis danych o pacjencie oznaczany bieżącą datą i godziną. Wszystkie zdarzenia i związane z nimi krzywe są zapisywane w postaci cyfrowej w zapisie danych o pacjencie w postaci raportów, które można drukować czy przesyłać do systemu LIFENET </w:t>
      </w:r>
      <w:r w:rsidRPr="00AE0332">
        <w:rPr>
          <w:rFonts w:ascii="Sylfaen" w:hAnsi="Sylfaen" w:cstheme="minorHAnsi"/>
          <w:bCs/>
          <w:sz w:val="22"/>
          <w:szCs w:val="22"/>
        </w:rPr>
        <w:t>(wymaga podłączenia modemu oraz licencji CODESTAT)</w:t>
      </w:r>
      <w:r w:rsidRPr="00AE0332">
        <w:rPr>
          <w:rFonts w:ascii="Sylfaen" w:eastAsia="HelveticaNeueLTPro-Roman" w:hAnsi="Sylfaen" w:cstheme="minorHAnsi"/>
          <w:bCs/>
          <w:sz w:val="22"/>
          <w:szCs w:val="22"/>
          <w:lang w:eastAsia="en-US"/>
        </w:rPr>
        <w:t xml:space="preserve">, dostępnego w wewnętrznej sieci szpitalnej. Każdy zapis danych o pacjencie przechowywany w archiwum można wydrukować, przesłać, pobrać lub usunąć. </w:t>
      </w:r>
      <w:r w:rsidRPr="00AE0332">
        <w:rPr>
          <w:rFonts w:ascii="Sylfaen" w:eastAsia="MinionPro-Regular" w:hAnsi="Sylfaen" w:cstheme="minorHAnsi"/>
          <w:bCs/>
          <w:sz w:val="22"/>
          <w:szCs w:val="22"/>
          <w:lang w:eastAsia="en-US"/>
        </w:rPr>
        <w:t>Urządzenie przechwytuje i gromadzi w pamięci wewnętrznej dane pacjenta, zdarzenia (łącznie z krzywymi i uwagami) oraz zapisy krzywych ciągłych oraz zapisy impedancji pacjenta. Użytkownik może wybierać i drukować raporty oraz przenosić zapisane informacje za pomocą dostępnych metod komunikacji. Typy raportów: trzy formaty zapisu zdarzeń krytycznych CODE SUMMARY™: krótki, średni i długi; 12-odprowadzeniowe EKG z określeniami STEMI; Ciągły zapis krzywych (tylko transfer); Zestawienie trendów; Zestawienie parametrów życiowych; Raport migawkowy.</w:t>
      </w:r>
    </w:p>
    <w:p w14:paraId="176E0DF0" w14:textId="77777777" w:rsidR="00EC3052" w:rsidRPr="00AE0332" w:rsidRDefault="00EC3052" w:rsidP="00EC3052">
      <w:pPr>
        <w:suppressAutoHyphens w:val="0"/>
        <w:autoSpaceDE w:val="0"/>
        <w:autoSpaceDN w:val="0"/>
        <w:adjustRightInd w:val="0"/>
        <w:rPr>
          <w:rFonts w:ascii="Sylfaen" w:eastAsia="HelveticaNeueLTPro-Roman" w:hAnsi="Sylfaen" w:cstheme="minorHAnsi"/>
          <w:bCs/>
          <w:sz w:val="22"/>
          <w:szCs w:val="22"/>
          <w:lang w:eastAsia="en-US"/>
        </w:rPr>
      </w:pPr>
      <w:r w:rsidRPr="00AE0332">
        <w:rPr>
          <w:rFonts w:ascii="Sylfaen" w:eastAsia="HelveticaNeueLTPro-Roman" w:hAnsi="Sylfaen" w:cstheme="minorHAnsi"/>
          <w:bCs/>
          <w:sz w:val="22"/>
          <w:szCs w:val="22"/>
          <w:lang w:eastAsia="en-US"/>
        </w:rPr>
        <w:t>Możliwość przesyłania raportów do systemu LIFENET dane zawierają następujące informacje: stan akumulatora, stan adaptera zasilania, informacje o użytkowaniu urządzenia, ustawienia konfiguracyjne produkcji, wyniki automatycznych testów.</w:t>
      </w:r>
    </w:p>
    <w:p w14:paraId="74197126" w14:textId="77777777" w:rsidR="00EC3052" w:rsidRPr="00AE0332" w:rsidRDefault="00EC3052" w:rsidP="00EC3052">
      <w:pPr>
        <w:suppressAutoHyphens w:val="0"/>
        <w:autoSpaceDE w:val="0"/>
        <w:autoSpaceDN w:val="0"/>
        <w:adjustRightInd w:val="0"/>
        <w:rPr>
          <w:rFonts w:ascii="Sylfaen" w:eastAsiaTheme="minorHAnsi" w:hAnsi="Sylfaen" w:cstheme="minorHAnsi"/>
          <w:bCs/>
          <w:sz w:val="22"/>
          <w:szCs w:val="22"/>
          <w:lang w:eastAsia="en-US"/>
        </w:rPr>
      </w:pPr>
      <w:r w:rsidRPr="00AE0332">
        <w:rPr>
          <w:rFonts w:ascii="Sylfaen" w:eastAsia="HelveticaNeueLTPro-Roman" w:hAnsi="Sylfaen" w:cstheme="minorHAnsi"/>
          <w:bCs/>
          <w:sz w:val="22"/>
          <w:szCs w:val="22"/>
          <w:lang w:eastAsia="en-US"/>
        </w:rPr>
        <w:t xml:space="preserve">Ad.20. </w:t>
      </w:r>
      <w:r w:rsidRPr="00AE0332">
        <w:rPr>
          <w:rFonts w:ascii="Sylfaen" w:hAnsi="Sylfaen" w:cstheme="minorHAnsi"/>
          <w:bCs/>
          <w:color w:val="000000"/>
          <w:sz w:val="22"/>
          <w:szCs w:val="22"/>
        </w:rPr>
        <w:t xml:space="preserve">Defibrylator wyposażony w czujnik kapnometrii, </w:t>
      </w:r>
      <w:r w:rsidRPr="00AE0332">
        <w:rPr>
          <w:rFonts w:ascii="Sylfaen" w:hAnsi="Sylfaen" w:cstheme="minorHAnsi"/>
          <w:bCs/>
          <w:sz w:val="22"/>
          <w:szCs w:val="22"/>
        </w:rPr>
        <w:t>obecnie jedyne rekomendowane i wiarygodne narzędzie oceny jakości prowadzonych uciśnięć klatki piersiowej podczas prowadzenia RKO (Wytyczne Resuscytacji Krążeniowo-Oddechowej ERC i AHA 2015)</w:t>
      </w:r>
    </w:p>
    <w:p w14:paraId="0F16AB28" w14:textId="77777777" w:rsidR="00EC3052" w:rsidRPr="00AE0332" w:rsidRDefault="00EC3052" w:rsidP="00EC3052">
      <w:pPr>
        <w:suppressAutoHyphens w:val="0"/>
        <w:autoSpaceDE w:val="0"/>
        <w:autoSpaceDN w:val="0"/>
        <w:adjustRightInd w:val="0"/>
        <w:rPr>
          <w:rFonts w:ascii="Sylfaen" w:eastAsia="MinionPro-Regular" w:hAnsi="Sylfaen" w:cstheme="minorHAnsi"/>
          <w:bCs/>
          <w:sz w:val="22"/>
          <w:szCs w:val="22"/>
          <w:lang w:eastAsia="en-US"/>
        </w:rPr>
      </w:pPr>
      <w:r w:rsidRPr="00AE0332">
        <w:rPr>
          <w:rFonts w:ascii="Sylfaen" w:eastAsia="HelveticaNeueLTPro-Roman" w:hAnsi="Sylfaen" w:cstheme="minorHAnsi"/>
          <w:bCs/>
          <w:sz w:val="22"/>
          <w:szCs w:val="22"/>
          <w:lang w:eastAsia="en-US"/>
        </w:rPr>
        <w:t xml:space="preserve">Ad.27. </w:t>
      </w:r>
      <w:r w:rsidRPr="00AE0332">
        <w:rPr>
          <w:rFonts w:ascii="Sylfaen" w:eastAsia="MinionPro-Regular" w:hAnsi="Sylfaen" w:cstheme="minorHAnsi"/>
          <w:bCs/>
          <w:sz w:val="22"/>
          <w:szCs w:val="22"/>
          <w:lang w:eastAsia="en-US"/>
        </w:rPr>
        <w:t xml:space="preserve">Urządzenie gromadzi w pamięci wewnętrznej dane pacjenta, zdarzenia (łącznie z krzywymi i uwagami) oraz zapisy krzywych ciągłych oraz zapisy impedancji pacjenta. </w:t>
      </w:r>
      <w:r w:rsidRPr="00AE0332">
        <w:rPr>
          <w:rFonts w:ascii="Sylfaen" w:eastAsiaTheme="minorHAnsi" w:hAnsi="Sylfaen" w:cstheme="minorHAnsi"/>
          <w:bCs/>
          <w:sz w:val="22"/>
          <w:szCs w:val="22"/>
          <w:lang w:eastAsia="en-US"/>
        </w:rPr>
        <w:t xml:space="preserve">Pojemność pamięci: </w:t>
      </w:r>
      <w:r w:rsidRPr="00AE0332">
        <w:rPr>
          <w:rFonts w:ascii="Sylfaen" w:eastAsia="MinionPro-Regular" w:hAnsi="Sylfaen" w:cstheme="minorHAnsi"/>
          <w:bCs/>
          <w:sz w:val="22"/>
          <w:szCs w:val="22"/>
          <w:lang w:eastAsia="en-US"/>
        </w:rPr>
        <w:t>Łączna pojemność to 360 minut ciągłego monitorowania EKG, 90 minut ciągłego monitorowania danych na wszystkich kanałach lub 400 pojedynczych zdarzeń z krzywymi.</w:t>
      </w:r>
    </w:p>
    <w:p w14:paraId="73B0C3D1" w14:textId="77777777" w:rsidR="00EC3052" w:rsidRPr="00AE0332" w:rsidRDefault="00EC3052" w:rsidP="00EC3052">
      <w:pPr>
        <w:suppressAutoHyphens w:val="0"/>
        <w:autoSpaceDE w:val="0"/>
        <w:autoSpaceDN w:val="0"/>
        <w:adjustRightInd w:val="0"/>
        <w:rPr>
          <w:rFonts w:ascii="Sylfaen" w:eastAsia="HelveticaNeueLTPro-Roman" w:hAnsi="Sylfaen" w:cstheme="minorHAnsi"/>
          <w:sz w:val="22"/>
          <w:szCs w:val="22"/>
          <w:lang w:eastAsia="en-US"/>
        </w:rPr>
      </w:pPr>
      <w:r w:rsidRPr="00AE0332">
        <w:rPr>
          <w:rFonts w:ascii="Sylfaen" w:eastAsia="MinionPro-Regular" w:hAnsi="Sylfaen" w:cstheme="minorHAnsi"/>
          <w:bCs/>
          <w:sz w:val="22"/>
          <w:szCs w:val="22"/>
          <w:lang w:eastAsia="en-US"/>
        </w:rPr>
        <w:t>Ad.28.</w:t>
      </w:r>
      <w:r w:rsidRPr="00AE0332">
        <w:rPr>
          <w:rFonts w:ascii="Sylfaen" w:eastAsia="HelveticaNeueLTPro-Roman" w:hAnsi="Sylfaen" w:cstheme="minorHAnsi"/>
          <w:sz w:val="22"/>
          <w:szCs w:val="22"/>
          <w:lang w:eastAsia="en-US"/>
        </w:rPr>
        <w:t xml:space="preserve"> Aparat może przesyłać dane za pośrednictwem komunikacji przewodowej lub bezprzewodowej. Aparat jest zgodny z częścią 15 norm FCC. </w:t>
      </w:r>
      <w:r w:rsidRPr="00AE0332">
        <w:rPr>
          <w:rFonts w:ascii="Sylfaen" w:hAnsi="Sylfaen" w:cstheme="minorHAnsi"/>
          <w:sz w:val="22"/>
          <w:szCs w:val="22"/>
        </w:rPr>
        <w:t xml:space="preserve">Dzięki takiemu połączeniu z defibrylatora do komputera, transmisja </w:t>
      </w:r>
      <w:r w:rsidRPr="00AE0332">
        <w:rPr>
          <w:rFonts w:ascii="Sylfaen" w:eastAsia="HelveticaNeueLTPro-Roman" w:hAnsi="Sylfaen" w:cstheme="minorHAnsi"/>
          <w:sz w:val="22"/>
          <w:szCs w:val="22"/>
        </w:rPr>
        <w:t>eliminuje możliwości potencjalnego zagubienia danych medycznych bez konieczności używania nośników w postaci karty pamięci lub pendrive.</w:t>
      </w:r>
    </w:p>
    <w:p w14:paraId="5F552228" w14:textId="77777777" w:rsidR="00EC3052" w:rsidRPr="00AE0332" w:rsidRDefault="00EC3052" w:rsidP="00EC3052">
      <w:pPr>
        <w:suppressAutoHyphens w:val="0"/>
        <w:autoSpaceDE w:val="0"/>
        <w:autoSpaceDN w:val="0"/>
        <w:adjustRightInd w:val="0"/>
        <w:rPr>
          <w:rFonts w:ascii="Sylfaen" w:eastAsia="Times New Roman" w:hAnsi="Sylfaen" w:cstheme="minorHAnsi"/>
          <w:bCs/>
          <w:sz w:val="22"/>
          <w:szCs w:val="22"/>
          <w:lang w:eastAsia="ar-SA"/>
        </w:rPr>
      </w:pPr>
      <w:r w:rsidRPr="00AE0332">
        <w:rPr>
          <w:rFonts w:ascii="Sylfaen" w:hAnsi="Sylfaen" w:cstheme="minorHAnsi"/>
          <w:bCs/>
          <w:sz w:val="22"/>
          <w:szCs w:val="22"/>
        </w:rPr>
        <w:t xml:space="preserve">Ad.30. Kardiowersja elektryczna – synchronizacja z zapisem EKG z elektrod, kabla EKG, znacznik synchronizacji widoczny nad załamkiem R elektrokardiogramu. </w:t>
      </w:r>
      <w:r w:rsidRPr="00AE0332">
        <w:rPr>
          <w:rFonts w:ascii="Sylfaen" w:eastAsiaTheme="minorHAnsi" w:hAnsi="Sylfaen" w:cstheme="minorHAnsi"/>
          <w:bCs/>
          <w:sz w:val="22"/>
          <w:szCs w:val="22"/>
          <w:lang w:eastAsia="en-US"/>
        </w:rPr>
        <w:t xml:space="preserve">Należy mieć na uwadze, iż nie zaleca się używania synchronizowanych wyładowań z zastosowaniem łyżek jako źródła sygnału EKG, gdyż ich poruszenie może spowodować powstanie artefaktu, który będzie przypominał załamek R, co spowoduje uruchomienie wyładowania </w:t>
      </w:r>
      <w:proofErr w:type="spellStart"/>
      <w:r w:rsidRPr="00AE0332">
        <w:rPr>
          <w:rFonts w:ascii="Sylfaen" w:eastAsiaTheme="minorHAnsi" w:hAnsi="Sylfaen" w:cstheme="minorHAnsi"/>
          <w:bCs/>
          <w:sz w:val="22"/>
          <w:szCs w:val="22"/>
          <w:lang w:eastAsia="en-US"/>
        </w:rPr>
        <w:t>defibrylacyjnego</w:t>
      </w:r>
      <w:proofErr w:type="spellEnd"/>
      <w:r w:rsidRPr="00AE0332">
        <w:rPr>
          <w:rFonts w:ascii="Sylfaen" w:eastAsiaTheme="minorHAnsi" w:hAnsi="Sylfaen" w:cstheme="minorHAnsi"/>
          <w:bCs/>
          <w:sz w:val="22"/>
          <w:szCs w:val="22"/>
          <w:lang w:eastAsia="en-US"/>
        </w:rPr>
        <w:t xml:space="preserve"> w niewłaściwym czasie</w:t>
      </w:r>
    </w:p>
    <w:p w14:paraId="600C54D6" w14:textId="77777777" w:rsidR="00EC3052" w:rsidRPr="00AE0332" w:rsidRDefault="00EC3052" w:rsidP="00EC3052">
      <w:pPr>
        <w:suppressAutoHyphens w:val="0"/>
        <w:autoSpaceDE w:val="0"/>
        <w:autoSpaceDN w:val="0"/>
        <w:adjustRightInd w:val="0"/>
        <w:rPr>
          <w:rFonts w:ascii="Sylfaen" w:eastAsia="HelveticaNeueLTPro-Roman" w:hAnsi="Sylfaen" w:cstheme="minorHAnsi"/>
          <w:bCs/>
          <w:sz w:val="22"/>
          <w:szCs w:val="22"/>
          <w:lang w:eastAsia="en-US"/>
        </w:rPr>
      </w:pPr>
      <w:r w:rsidRPr="00AE0332">
        <w:rPr>
          <w:rFonts w:ascii="Sylfaen" w:eastAsia="HelveticaNeueLTPro-Roman" w:hAnsi="Sylfaen" w:cstheme="minorHAnsi"/>
          <w:bCs/>
          <w:sz w:val="22"/>
          <w:szCs w:val="22"/>
          <w:lang w:eastAsia="en-US"/>
        </w:rPr>
        <w:t>Ad.31. Maksymalne opóźnienie między impulsem synchronizacji a dostarczeniem energii, po uaktywnieniu wyjścia, wynosi nie więcej niż 60 ms.</w:t>
      </w:r>
    </w:p>
    <w:p w14:paraId="541F7CB1" w14:textId="77777777" w:rsidR="00EC3052" w:rsidRPr="00AE0332" w:rsidRDefault="00EC3052" w:rsidP="00EC3052">
      <w:pPr>
        <w:suppressAutoHyphens w:val="0"/>
        <w:autoSpaceDE w:val="0"/>
        <w:autoSpaceDN w:val="0"/>
        <w:adjustRightInd w:val="0"/>
        <w:rPr>
          <w:rFonts w:ascii="Sylfaen" w:eastAsia="HelveticaNeueLTPro-Roman" w:hAnsi="Sylfaen" w:cstheme="minorHAnsi"/>
          <w:bCs/>
          <w:sz w:val="22"/>
          <w:szCs w:val="22"/>
          <w:lang w:eastAsia="en-US"/>
        </w:rPr>
      </w:pPr>
      <w:r w:rsidRPr="00AE0332">
        <w:rPr>
          <w:rFonts w:ascii="Sylfaen" w:hAnsi="Sylfaen" w:cstheme="minorHAnsi"/>
          <w:bCs/>
          <w:sz w:val="22"/>
          <w:szCs w:val="22"/>
        </w:rPr>
        <w:t>Ad.32. Defibrylacja dwufazowa w trybie ręcznym i automatycznym w zakresie 2 - 360 J, dostępne</w:t>
      </w:r>
      <w:r w:rsidRPr="00AE0332">
        <w:rPr>
          <w:rFonts w:ascii="Sylfaen" w:hAnsi="Sylfaen" w:cstheme="minorHAnsi"/>
          <w:bCs/>
          <w:spacing w:val="1"/>
          <w:sz w:val="22"/>
          <w:szCs w:val="22"/>
        </w:rPr>
        <w:t xml:space="preserve"> </w:t>
      </w:r>
      <w:r w:rsidRPr="00AE0332">
        <w:rPr>
          <w:rFonts w:ascii="Sylfaen" w:hAnsi="Sylfaen" w:cstheme="minorHAnsi"/>
          <w:bCs/>
          <w:sz w:val="22"/>
          <w:szCs w:val="22"/>
        </w:rPr>
        <w:t xml:space="preserve">25 poziomów energii zew.,  programowane przez użytkownika wartości energii AED dla 1, 2, 3 </w:t>
      </w:r>
      <w:r w:rsidRPr="00AE0332">
        <w:rPr>
          <w:rFonts w:ascii="Sylfaen" w:hAnsi="Sylfaen" w:cstheme="minorHAnsi"/>
          <w:bCs/>
          <w:sz w:val="22"/>
          <w:szCs w:val="22"/>
        </w:rPr>
        <w:lastRenderedPageBreak/>
        <w:t>defibrylacji z energią od 150 do 360J</w:t>
      </w:r>
      <w:r w:rsidRPr="00AE0332">
        <w:rPr>
          <w:rFonts w:ascii="Sylfaen" w:eastAsia="Calibri" w:hAnsi="Sylfaen" w:cstheme="minorHAnsi"/>
          <w:bCs/>
          <w:sz w:val="22"/>
          <w:szCs w:val="22"/>
          <w:lang w:eastAsia="en-US"/>
        </w:rPr>
        <w:t xml:space="preserve"> ; </w:t>
      </w:r>
      <w:r w:rsidRPr="00AE0332">
        <w:rPr>
          <w:rFonts w:ascii="Sylfaen" w:eastAsiaTheme="minorHAnsi" w:hAnsi="Sylfaen" w:cstheme="minorHAnsi"/>
          <w:bCs/>
          <w:sz w:val="22"/>
          <w:szCs w:val="22"/>
          <w:lang w:eastAsia="en-US"/>
        </w:rPr>
        <w:t xml:space="preserve">Tryb ręczny: Wybór energii: </w:t>
      </w:r>
      <w:r w:rsidRPr="00AE0332">
        <w:rPr>
          <w:rFonts w:ascii="Sylfaen" w:eastAsia="MinionPro-Regular" w:hAnsi="Sylfaen" w:cstheme="minorHAnsi"/>
          <w:bCs/>
          <w:sz w:val="22"/>
          <w:szCs w:val="22"/>
          <w:lang w:eastAsia="en-US"/>
        </w:rPr>
        <w:t>2, 3, 4, 5, 6, 7, 8, 9, 10, 15, 20, 30, 50, 70,</w:t>
      </w:r>
      <w:r w:rsidRPr="00AE0332">
        <w:rPr>
          <w:rFonts w:ascii="Sylfaen" w:eastAsiaTheme="minorHAnsi" w:hAnsi="Sylfaen" w:cstheme="minorHAnsi"/>
          <w:bCs/>
          <w:sz w:val="22"/>
          <w:szCs w:val="22"/>
          <w:lang w:eastAsia="en-US"/>
        </w:rPr>
        <w:t xml:space="preserve"> </w:t>
      </w:r>
      <w:r w:rsidRPr="00AE0332">
        <w:rPr>
          <w:rFonts w:ascii="Sylfaen" w:eastAsia="MinionPro-Regular" w:hAnsi="Sylfaen" w:cstheme="minorHAnsi"/>
          <w:bCs/>
          <w:sz w:val="22"/>
          <w:szCs w:val="22"/>
          <w:lang w:eastAsia="en-US"/>
        </w:rPr>
        <w:t>100, 125, 150, 175, 200, 225, 250, 275, 300, 325 i 360 dżuli</w:t>
      </w:r>
      <w:r w:rsidRPr="00AE0332">
        <w:rPr>
          <w:rFonts w:ascii="Sylfaen" w:eastAsia="Calibri" w:hAnsi="Sylfaen" w:cstheme="minorHAnsi"/>
          <w:bCs/>
          <w:sz w:val="22"/>
          <w:szCs w:val="22"/>
          <w:lang w:eastAsia="en-US"/>
        </w:rPr>
        <w:t>.</w:t>
      </w:r>
    </w:p>
    <w:p w14:paraId="56FF822B" w14:textId="77777777" w:rsidR="00EC3052" w:rsidRPr="00AE0332" w:rsidRDefault="00EC3052" w:rsidP="00EC3052">
      <w:pPr>
        <w:autoSpaceDE w:val="0"/>
        <w:autoSpaceDN w:val="0"/>
        <w:adjustRightInd w:val="0"/>
        <w:rPr>
          <w:rFonts w:ascii="Sylfaen" w:eastAsia="HelveticaNeueLTPro-Roman" w:hAnsi="Sylfaen" w:cstheme="minorHAnsi"/>
          <w:bCs/>
          <w:sz w:val="22"/>
          <w:szCs w:val="22"/>
          <w:lang w:eastAsia="ar-SA"/>
        </w:rPr>
      </w:pPr>
      <w:r w:rsidRPr="00AE0332">
        <w:rPr>
          <w:rFonts w:ascii="Sylfaen" w:hAnsi="Sylfaen" w:cstheme="minorHAnsi"/>
          <w:bCs/>
          <w:sz w:val="22"/>
          <w:szCs w:val="22"/>
        </w:rPr>
        <w:t xml:space="preserve">Ad.36. : czas ładowania do energii maksymalnej </w:t>
      </w:r>
      <w:r w:rsidRPr="00AE0332">
        <w:rPr>
          <w:rFonts w:ascii="Sylfaen" w:eastAsia="HelveticaNeueLTPro-Roman" w:hAnsi="Sylfaen" w:cstheme="minorHAnsi"/>
          <w:bCs/>
          <w:sz w:val="22"/>
          <w:szCs w:val="22"/>
        </w:rPr>
        <w:t>360 J w 10 sekund</w:t>
      </w:r>
      <w:r w:rsidRPr="00AE0332">
        <w:rPr>
          <w:rFonts w:ascii="Sylfaen" w:hAnsi="Sylfaen" w:cstheme="minorHAnsi"/>
          <w:bCs/>
          <w:sz w:val="22"/>
          <w:szCs w:val="22"/>
        </w:rPr>
        <w:t xml:space="preserve">, </w:t>
      </w:r>
      <w:r w:rsidRPr="00AE0332">
        <w:rPr>
          <w:rFonts w:ascii="Sylfaen" w:eastAsia="HelveticaNeueLTPro-Roman" w:hAnsi="Sylfaen" w:cstheme="minorHAnsi"/>
          <w:bCs/>
          <w:sz w:val="22"/>
          <w:szCs w:val="22"/>
        </w:rPr>
        <w:t>maksymalny czas od ładowania do gotowości do wstrząsu 200 J w 7 sekund.</w:t>
      </w:r>
    </w:p>
    <w:p w14:paraId="23318CBB" w14:textId="77777777" w:rsidR="00EC3052" w:rsidRPr="00AE0332" w:rsidRDefault="00EC3052" w:rsidP="00EC3052">
      <w:pPr>
        <w:suppressAutoHyphens w:val="0"/>
        <w:autoSpaceDE w:val="0"/>
        <w:autoSpaceDN w:val="0"/>
        <w:adjustRightInd w:val="0"/>
        <w:rPr>
          <w:rFonts w:ascii="Sylfaen" w:eastAsia="HelveticaNeueLTPro-Roman" w:hAnsi="Sylfaen" w:cstheme="minorHAnsi"/>
          <w:bCs/>
          <w:sz w:val="22"/>
          <w:szCs w:val="22"/>
          <w:lang w:eastAsia="en-US"/>
        </w:rPr>
      </w:pPr>
      <w:r w:rsidRPr="00AE0332">
        <w:rPr>
          <w:rFonts w:ascii="Sylfaen" w:hAnsi="Sylfaen" w:cstheme="minorHAnsi"/>
          <w:bCs/>
          <w:sz w:val="22"/>
          <w:szCs w:val="22"/>
        </w:rPr>
        <w:t xml:space="preserve">Ad.39, 40. </w:t>
      </w:r>
      <w:r w:rsidRPr="00AE0332">
        <w:rPr>
          <w:rFonts w:ascii="Sylfaen" w:eastAsiaTheme="minorHAnsi" w:hAnsi="Sylfaen" w:cstheme="minorHAnsi"/>
          <w:bCs/>
          <w:sz w:val="22"/>
          <w:szCs w:val="22"/>
          <w:lang w:eastAsia="en-US"/>
        </w:rPr>
        <w:t xml:space="preserve">Tryb AED: </w:t>
      </w:r>
      <w:r w:rsidRPr="00AE0332">
        <w:rPr>
          <w:rFonts w:ascii="Sylfaen" w:eastAsia="MinionPro-Regular" w:hAnsi="Sylfaen" w:cstheme="minorHAnsi"/>
          <w:bCs/>
          <w:sz w:val="22"/>
          <w:szCs w:val="22"/>
          <w:lang w:eastAsia="en-US"/>
        </w:rPr>
        <w:t xml:space="preserve">automatyczna analiza EKG oraz generowane instrukcje zgodne z protokołem dotyczącym postępowania w przypadku pacjentów z zatrzymaniem, </w:t>
      </w:r>
      <w:r w:rsidRPr="00AE0332">
        <w:rPr>
          <w:rFonts w:ascii="Sylfaen" w:eastAsia="HelveticaNeueLTPro-Roman" w:hAnsi="Sylfaen" w:cstheme="minorHAnsi"/>
          <w:bCs/>
          <w:sz w:val="22"/>
          <w:szCs w:val="22"/>
          <w:lang w:eastAsia="en-US"/>
        </w:rPr>
        <w:t xml:space="preserve">poziomy wyładowań z zakresu 150–360 J przy tym samym lub większym poziomie energii dla każdego kolejnego wyładowania </w:t>
      </w:r>
      <w:r w:rsidRPr="00AE0332">
        <w:rPr>
          <w:rFonts w:ascii="Sylfaen" w:eastAsia="MinionPro-Regular" w:hAnsi="Sylfaen" w:cstheme="minorHAnsi"/>
          <w:bCs/>
          <w:sz w:val="22"/>
          <w:szCs w:val="22"/>
          <w:lang w:eastAsia="en-US"/>
        </w:rPr>
        <w:t>krążenia.</w:t>
      </w:r>
    </w:p>
    <w:p w14:paraId="3EF0A4FF" w14:textId="77777777" w:rsidR="00EC3052" w:rsidRPr="00AE0332" w:rsidRDefault="00EC3052" w:rsidP="00EC3052">
      <w:pPr>
        <w:rPr>
          <w:rFonts w:ascii="Sylfaen" w:eastAsia="Times New Roman" w:hAnsi="Sylfaen" w:cstheme="minorHAnsi"/>
          <w:bCs/>
          <w:sz w:val="22"/>
          <w:szCs w:val="22"/>
          <w:lang w:eastAsia="ar-SA"/>
        </w:rPr>
      </w:pPr>
      <w:r w:rsidRPr="00AE0332">
        <w:rPr>
          <w:rFonts w:ascii="Sylfaen" w:hAnsi="Sylfaen" w:cstheme="minorHAnsi"/>
          <w:bCs/>
          <w:sz w:val="22"/>
          <w:szCs w:val="22"/>
        </w:rPr>
        <w:t>Ad.44. Wydzielony przycisk do bezpiecznego rozładowania defibrylatora w postaci pokrętła dialogowego z funkcją bezpiecznego rozładowania defibrylatora poprzez przyciśnięcie w/w pokrętła szybkiego wyładowania.</w:t>
      </w:r>
    </w:p>
    <w:p w14:paraId="30F693EB" w14:textId="77777777" w:rsidR="00EC3052" w:rsidRPr="00AE0332" w:rsidRDefault="00EC3052" w:rsidP="00EC3052">
      <w:pPr>
        <w:suppressAutoHyphens w:val="0"/>
        <w:autoSpaceDE w:val="0"/>
        <w:autoSpaceDN w:val="0"/>
        <w:adjustRightInd w:val="0"/>
        <w:rPr>
          <w:rFonts w:ascii="Sylfaen" w:eastAsia="HelveticaNeueLTPro-Roman" w:hAnsi="Sylfaen" w:cstheme="minorHAnsi"/>
          <w:bCs/>
          <w:sz w:val="22"/>
          <w:szCs w:val="22"/>
          <w:lang w:eastAsia="en-US"/>
        </w:rPr>
      </w:pPr>
      <w:r w:rsidRPr="00AE0332">
        <w:rPr>
          <w:rFonts w:ascii="Sylfaen" w:eastAsia="HelveticaNeueLTPro-Roman" w:hAnsi="Sylfaen" w:cstheme="minorHAnsi"/>
          <w:bCs/>
          <w:sz w:val="22"/>
          <w:szCs w:val="22"/>
          <w:lang w:eastAsia="en-US"/>
        </w:rPr>
        <w:t>Ad.45. Defibrylator wyposażony w system doradczy SAS (</w:t>
      </w:r>
      <w:proofErr w:type="spellStart"/>
      <w:r w:rsidRPr="00AE0332">
        <w:rPr>
          <w:rFonts w:ascii="Sylfaen" w:eastAsia="HelveticaNeueLTPro-Roman" w:hAnsi="Sylfaen" w:cstheme="minorHAnsi"/>
          <w:bCs/>
          <w:sz w:val="22"/>
          <w:szCs w:val="22"/>
          <w:lang w:eastAsia="en-US"/>
        </w:rPr>
        <w:t>Shock</w:t>
      </w:r>
      <w:proofErr w:type="spellEnd"/>
      <w:r w:rsidRPr="00AE0332">
        <w:rPr>
          <w:rFonts w:ascii="Sylfaen" w:eastAsia="HelveticaNeueLTPro-Roman" w:hAnsi="Sylfaen" w:cstheme="minorHAnsi"/>
          <w:bCs/>
          <w:sz w:val="22"/>
          <w:szCs w:val="22"/>
          <w:lang w:eastAsia="en-US"/>
        </w:rPr>
        <w:t xml:space="preserve"> </w:t>
      </w:r>
      <w:proofErr w:type="spellStart"/>
      <w:r w:rsidRPr="00AE0332">
        <w:rPr>
          <w:rFonts w:ascii="Sylfaen" w:eastAsia="HelveticaNeueLTPro-Roman" w:hAnsi="Sylfaen" w:cstheme="minorHAnsi"/>
          <w:bCs/>
          <w:sz w:val="22"/>
          <w:szCs w:val="22"/>
          <w:lang w:eastAsia="en-US"/>
        </w:rPr>
        <w:t>Advisory</w:t>
      </w:r>
      <w:proofErr w:type="spellEnd"/>
      <w:r w:rsidRPr="00AE0332">
        <w:rPr>
          <w:rFonts w:ascii="Sylfaen" w:eastAsia="HelveticaNeueLTPro-Roman" w:hAnsi="Sylfaen" w:cstheme="minorHAnsi"/>
          <w:bCs/>
          <w:sz w:val="22"/>
          <w:szCs w:val="22"/>
          <w:lang w:eastAsia="en-US"/>
        </w:rPr>
        <w:t xml:space="preserve"> System), stanowiący  system analizy EKG, w którym operator jest powiadamiany o wykryciu przez algorytm zapisu EKG wymagającego lub niewymagającego defibrylacji. System ten umożliwia osobom niewykwalifikowanym interpretację zapisu EKG w celu wykonania zabiegu ratującego życie u pacjentów, u których wystąpiło migotanie komór lub częstoskurcz komorowy bez tętna. System SAS mierzy impedancję klatki piersiowej. Gdy kontakt elektrod jest niewystarczający, AED wyświetla odpowiedni komunikat operatorowi.</w:t>
      </w:r>
    </w:p>
    <w:p w14:paraId="7E956A92" w14:textId="77777777" w:rsidR="00EC3052" w:rsidRPr="00AE0332" w:rsidRDefault="00EC3052" w:rsidP="00EC3052">
      <w:pPr>
        <w:suppressAutoHyphens w:val="0"/>
        <w:autoSpaceDE w:val="0"/>
        <w:autoSpaceDN w:val="0"/>
        <w:adjustRightInd w:val="0"/>
        <w:rPr>
          <w:rFonts w:ascii="Sylfaen" w:eastAsiaTheme="minorHAnsi" w:hAnsi="Sylfaen" w:cstheme="minorHAnsi"/>
          <w:sz w:val="22"/>
          <w:szCs w:val="22"/>
          <w:lang w:eastAsia="en-US"/>
        </w:rPr>
      </w:pPr>
      <w:r w:rsidRPr="00AE0332">
        <w:rPr>
          <w:rFonts w:ascii="Sylfaen" w:eastAsia="HelveticaNeueLTPro-Roman" w:hAnsi="Sylfaen" w:cstheme="minorHAnsi"/>
          <w:sz w:val="22"/>
          <w:szCs w:val="22"/>
          <w:lang w:eastAsia="en-US"/>
        </w:rPr>
        <w:t xml:space="preserve">Ad.48. </w:t>
      </w:r>
      <w:r w:rsidRPr="00AE0332">
        <w:rPr>
          <w:rFonts w:ascii="Sylfaen" w:hAnsi="Sylfaen" w:cstheme="minorHAnsi"/>
          <w:sz w:val="22"/>
          <w:szCs w:val="22"/>
        </w:rPr>
        <w:t>Zakres pomiaru częstości akcji serca w zakresie o</w:t>
      </w:r>
      <w:r w:rsidRPr="00AE0332">
        <w:rPr>
          <w:rFonts w:ascii="Sylfaen" w:eastAsia="MinionPro-Regular" w:hAnsi="Sylfaen" w:cstheme="minorHAnsi"/>
          <w:sz w:val="22"/>
          <w:szCs w:val="22"/>
          <w:lang w:eastAsia="en-US"/>
        </w:rPr>
        <w:t>d 20 do 300 uderzeń na minutę</w:t>
      </w:r>
    </w:p>
    <w:p w14:paraId="452658D4" w14:textId="77777777" w:rsidR="00EC3052" w:rsidRPr="00AE0332" w:rsidRDefault="00EC3052" w:rsidP="00EC3052">
      <w:pPr>
        <w:suppressAutoHyphens w:val="0"/>
        <w:autoSpaceDE w:val="0"/>
        <w:autoSpaceDN w:val="0"/>
        <w:adjustRightInd w:val="0"/>
        <w:rPr>
          <w:rFonts w:ascii="Sylfaen" w:eastAsia="MinionPro-Regular" w:hAnsi="Sylfaen" w:cstheme="minorHAnsi"/>
          <w:sz w:val="22"/>
          <w:szCs w:val="22"/>
          <w:lang w:eastAsia="en-US"/>
        </w:rPr>
      </w:pPr>
      <w:r w:rsidRPr="00AE0332">
        <w:rPr>
          <w:rFonts w:ascii="Sylfaen" w:eastAsia="HelveticaNeueLTPro-Roman" w:hAnsi="Sylfaen" w:cstheme="minorHAnsi"/>
          <w:sz w:val="22"/>
          <w:szCs w:val="22"/>
          <w:lang w:eastAsia="en-US"/>
        </w:rPr>
        <w:t xml:space="preserve">Ad.49. </w:t>
      </w:r>
      <w:r w:rsidRPr="00AE0332">
        <w:rPr>
          <w:rFonts w:ascii="Sylfaen" w:eastAsiaTheme="minorHAnsi" w:hAnsi="Sylfaen" w:cstheme="minorHAnsi"/>
          <w:sz w:val="22"/>
          <w:szCs w:val="22"/>
          <w:lang w:eastAsia="en-US"/>
        </w:rPr>
        <w:t xml:space="preserve">Rozmiar zapisu EKG: </w:t>
      </w:r>
      <w:r w:rsidRPr="00AE0332">
        <w:rPr>
          <w:rFonts w:ascii="Sylfaen" w:eastAsia="MinionPro-Regular" w:hAnsi="Sylfaen" w:cstheme="minorHAnsi"/>
          <w:sz w:val="22"/>
          <w:szCs w:val="22"/>
          <w:lang w:eastAsia="en-US"/>
        </w:rPr>
        <w:t>4; 3; 2,5; 2; 1,5; 1; 0,5; 0,25 cm/</w:t>
      </w:r>
      <w:proofErr w:type="spellStart"/>
      <w:r w:rsidRPr="00AE0332">
        <w:rPr>
          <w:rFonts w:ascii="Sylfaen" w:eastAsia="MinionPro-Regular" w:hAnsi="Sylfaen" w:cstheme="minorHAnsi"/>
          <w:sz w:val="22"/>
          <w:szCs w:val="22"/>
          <w:lang w:eastAsia="en-US"/>
        </w:rPr>
        <w:t>mV</w:t>
      </w:r>
      <w:proofErr w:type="spellEnd"/>
      <w:r w:rsidRPr="00AE0332">
        <w:rPr>
          <w:rFonts w:ascii="Sylfaen" w:eastAsia="MinionPro-Regular" w:hAnsi="Sylfaen" w:cstheme="minorHAnsi"/>
          <w:sz w:val="22"/>
          <w:szCs w:val="22"/>
          <w:lang w:eastAsia="en-US"/>
        </w:rPr>
        <w:t xml:space="preserve"> (ustawione na 1 cm/</w:t>
      </w:r>
      <w:proofErr w:type="spellStart"/>
      <w:r w:rsidRPr="00AE0332">
        <w:rPr>
          <w:rFonts w:ascii="Sylfaen" w:eastAsia="MinionPro-Regular" w:hAnsi="Sylfaen" w:cstheme="minorHAnsi"/>
          <w:sz w:val="22"/>
          <w:szCs w:val="22"/>
          <w:lang w:eastAsia="en-US"/>
        </w:rPr>
        <w:t>mV</w:t>
      </w:r>
      <w:proofErr w:type="spellEnd"/>
      <w:r w:rsidRPr="00AE0332">
        <w:rPr>
          <w:rFonts w:ascii="Sylfaen" w:eastAsia="MinionPro-Regular" w:hAnsi="Sylfaen" w:cstheme="minorHAnsi"/>
          <w:sz w:val="22"/>
          <w:szCs w:val="22"/>
          <w:lang w:eastAsia="en-US"/>
        </w:rPr>
        <w:t xml:space="preserve"> w przypadku 12-odprowadzeniowego)</w:t>
      </w:r>
    </w:p>
    <w:p w14:paraId="6B2A852B" w14:textId="77777777" w:rsidR="00EC3052" w:rsidRPr="00AE0332" w:rsidRDefault="00EC3052" w:rsidP="00EC3052">
      <w:pPr>
        <w:suppressAutoHyphens w:val="0"/>
        <w:autoSpaceDE w:val="0"/>
        <w:autoSpaceDN w:val="0"/>
        <w:adjustRightInd w:val="0"/>
        <w:rPr>
          <w:rFonts w:ascii="Sylfaen" w:eastAsia="MinionPro-Regular" w:hAnsi="Sylfaen" w:cstheme="minorHAnsi"/>
          <w:sz w:val="22"/>
          <w:szCs w:val="22"/>
          <w:lang w:eastAsia="en-US"/>
        </w:rPr>
      </w:pPr>
      <w:r w:rsidRPr="00AE0332">
        <w:rPr>
          <w:rFonts w:ascii="Sylfaen" w:eastAsia="MinionPro-Regular" w:hAnsi="Sylfaen" w:cstheme="minorHAnsi"/>
          <w:sz w:val="22"/>
          <w:szCs w:val="22"/>
          <w:lang w:eastAsia="en-US"/>
        </w:rPr>
        <w:t>AD.51</w:t>
      </w:r>
      <w:r w:rsidRPr="00AE0332">
        <w:rPr>
          <w:rFonts w:ascii="Sylfaen" w:eastAsia="HelveticaNeueLTPro-Roman" w:hAnsi="Sylfaen" w:cstheme="minorHAnsi"/>
          <w:sz w:val="22"/>
          <w:szCs w:val="22"/>
          <w:lang w:eastAsia="en-US"/>
        </w:rPr>
        <w:t xml:space="preserve"> Złącze pacjenta typu CF, zabezpieczone przed defibrylacją</w:t>
      </w:r>
    </w:p>
    <w:p w14:paraId="5943BFC0" w14:textId="77777777" w:rsidR="00EC3052" w:rsidRPr="00AE0332" w:rsidRDefault="00EC3052" w:rsidP="00EC3052">
      <w:pPr>
        <w:suppressAutoHyphens w:val="0"/>
        <w:autoSpaceDE w:val="0"/>
        <w:autoSpaceDN w:val="0"/>
        <w:adjustRightInd w:val="0"/>
        <w:rPr>
          <w:rFonts w:ascii="Sylfaen" w:eastAsia="Times New Roman" w:hAnsi="Sylfaen" w:cstheme="minorHAnsi"/>
          <w:sz w:val="22"/>
          <w:szCs w:val="22"/>
          <w:lang w:eastAsia="ar-SA"/>
        </w:rPr>
      </w:pPr>
      <w:r w:rsidRPr="00AE0332">
        <w:rPr>
          <w:rFonts w:ascii="Sylfaen" w:eastAsia="MinionPro-Regular" w:hAnsi="Sylfaen" w:cstheme="minorHAnsi"/>
          <w:sz w:val="22"/>
          <w:szCs w:val="22"/>
          <w:lang w:eastAsia="en-US"/>
        </w:rPr>
        <w:t xml:space="preserve">Ad.52. </w:t>
      </w:r>
      <w:r w:rsidRPr="00AE0332">
        <w:rPr>
          <w:rFonts w:ascii="Sylfaen" w:eastAsia="HelveticaNeueLTPro-Roman" w:hAnsi="Sylfaen" w:cstheme="minorHAnsi"/>
          <w:sz w:val="22"/>
          <w:szCs w:val="22"/>
          <w:lang w:eastAsia="en-US"/>
        </w:rPr>
        <w:t>Monitor/defibrylator jako kompletny system do intensywnej terapii kardiologicznej</w:t>
      </w:r>
      <w:r w:rsidRPr="00AE0332">
        <w:rPr>
          <w:rFonts w:ascii="Sylfaen" w:eastAsia="MinionPro-Regular" w:hAnsi="Sylfaen" w:cstheme="minorHAnsi"/>
          <w:sz w:val="22"/>
          <w:szCs w:val="22"/>
          <w:lang w:eastAsia="en-US"/>
        </w:rPr>
        <w:t xml:space="preserve"> </w:t>
      </w:r>
      <w:r w:rsidRPr="00AE0332">
        <w:rPr>
          <w:rFonts w:ascii="Sylfaen" w:eastAsia="HelveticaNeueLTPro-Roman" w:hAnsi="Sylfaen" w:cstheme="minorHAnsi"/>
          <w:sz w:val="22"/>
          <w:szCs w:val="22"/>
          <w:lang w:eastAsia="en-US"/>
        </w:rPr>
        <w:t xml:space="preserve">podczas stosowania zarówno podstawowych, jak i zaawansowanych czynności ratujących życie. </w:t>
      </w:r>
      <w:r w:rsidRPr="00AE0332">
        <w:rPr>
          <w:rFonts w:ascii="Sylfaen" w:hAnsi="Sylfaen" w:cstheme="minorHAnsi"/>
          <w:sz w:val="22"/>
          <w:szCs w:val="22"/>
        </w:rPr>
        <w:t>Konstrukcja urządzenia zawiera wiele innowacyjnych rozwiązań klinicznych i technicznych.</w:t>
      </w:r>
      <w:r w:rsidRPr="00AE0332">
        <w:rPr>
          <w:rFonts w:ascii="Sylfaen" w:hAnsi="Sylfaen" w:cs="Calibri"/>
          <w:sz w:val="22"/>
          <w:szCs w:val="22"/>
        </w:rPr>
        <w:t xml:space="preserve"> Monitor/defibrylator wyposażony w zaawansowaną pomoc w terapii pacjentów z OZW— łatwe uzyskanie badania 12-odprowadzeniowego EKG przed leczeniem, wykorzystanie do ciągłego monitorowania w tle wszystkich 12 </w:t>
      </w:r>
      <w:proofErr w:type="spellStart"/>
      <w:r w:rsidRPr="00AE0332">
        <w:rPr>
          <w:rFonts w:ascii="Sylfaen" w:hAnsi="Sylfaen" w:cs="Calibri"/>
          <w:sz w:val="22"/>
          <w:szCs w:val="22"/>
        </w:rPr>
        <w:t>odprowadzeń</w:t>
      </w:r>
      <w:proofErr w:type="spellEnd"/>
      <w:r w:rsidRPr="00AE0332">
        <w:rPr>
          <w:rFonts w:ascii="Sylfaen" w:hAnsi="Sylfaen" w:cs="Calibri"/>
          <w:sz w:val="22"/>
          <w:szCs w:val="22"/>
        </w:rPr>
        <w:t xml:space="preserve"> oraz alarmowanie o zmianach za pośrednictwem unikatowej funkcji śledzenia tendencji zmian odcinka ST. W połączeniu z internetową technologią zarządzania teletransmisjami LIFENET STEMI, umożliwia automatyczne i jednoczesne przesyłanie najważniejszych danych o pacjencie w całym regionie, również do aktualnego systemu teleinformatycznego szpitala.</w:t>
      </w:r>
    </w:p>
    <w:p w14:paraId="17200FC7" w14:textId="77777777" w:rsidR="00EC3052" w:rsidRPr="00AE0332" w:rsidRDefault="00EC3052" w:rsidP="00EC3052">
      <w:pPr>
        <w:suppressAutoHyphens w:val="0"/>
        <w:autoSpaceDE w:val="0"/>
        <w:autoSpaceDN w:val="0"/>
        <w:adjustRightInd w:val="0"/>
        <w:rPr>
          <w:rFonts w:ascii="Sylfaen" w:eastAsiaTheme="minorHAnsi" w:hAnsi="Sylfaen" w:cstheme="minorHAnsi"/>
          <w:sz w:val="22"/>
          <w:szCs w:val="22"/>
          <w:lang w:eastAsia="en-US"/>
        </w:rPr>
      </w:pPr>
      <w:r w:rsidRPr="00AE0332">
        <w:rPr>
          <w:rFonts w:ascii="Sylfaen" w:hAnsi="Sylfaen" w:cstheme="minorHAnsi"/>
          <w:sz w:val="22"/>
          <w:szCs w:val="22"/>
        </w:rPr>
        <w:t xml:space="preserve">Ad.53-56. </w:t>
      </w:r>
      <w:r w:rsidRPr="00AE0332">
        <w:rPr>
          <w:rFonts w:ascii="Sylfaen" w:hAnsi="Sylfaen" w:cstheme="minorHAnsi"/>
          <w:color w:val="000000"/>
          <w:sz w:val="22"/>
          <w:szCs w:val="22"/>
        </w:rPr>
        <w:t xml:space="preserve">Defibrylator wyposażony w czujnik kapnometrii, </w:t>
      </w:r>
      <w:r w:rsidRPr="00AE0332">
        <w:rPr>
          <w:rFonts w:ascii="Sylfaen" w:hAnsi="Sylfaen" w:cstheme="minorHAnsi"/>
          <w:sz w:val="22"/>
          <w:szCs w:val="22"/>
        </w:rPr>
        <w:t>obecnie jedyne rekomendowane i wiarygodne narzędzie oceny jakości prowadzonych uciśnięć klatki piersiowej podczas prowadzenia RKO (Wytyczne Resuscytacji Krążeniowo-Oddechowej ERC i AHA 2015)</w:t>
      </w:r>
    </w:p>
    <w:p w14:paraId="440A15C4" w14:textId="77777777" w:rsidR="00EC3052" w:rsidRPr="00AE0332" w:rsidRDefault="00EC3052" w:rsidP="00EC3052">
      <w:pPr>
        <w:suppressAutoHyphens w:val="0"/>
        <w:autoSpaceDE w:val="0"/>
        <w:autoSpaceDN w:val="0"/>
        <w:adjustRightInd w:val="0"/>
        <w:rPr>
          <w:rFonts w:ascii="Sylfaen" w:eastAsia="HelveticaNeueLTPro-Roman" w:hAnsi="Sylfaen" w:cstheme="minorHAnsi"/>
          <w:sz w:val="22"/>
          <w:szCs w:val="22"/>
          <w:lang w:eastAsia="en-US"/>
        </w:rPr>
      </w:pPr>
      <w:r w:rsidRPr="00AE0332">
        <w:rPr>
          <w:rFonts w:ascii="Sylfaen" w:eastAsia="HelveticaNeueLTPro-Roman" w:hAnsi="Sylfaen" w:cstheme="minorHAnsi"/>
          <w:sz w:val="22"/>
          <w:szCs w:val="22"/>
          <w:lang w:eastAsia="en-US"/>
        </w:rPr>
        <w:t xml:space="preserve">Zakres pomiaru ciśnienia parcjalnego CO2: 0 do 99 mmHg (0 do 13,2 </w:t>
      </w:r>
      <w:proofErr w:type="spellStart"/>
      <w:r w:rsidRPr="00AE0332">
        <w:rPr>
          <w:rFonts w:ascii="Sylfaen" w:eastAsia="HelveticaNeueLTPro-Roman" w:hAnsi="Sylfaen" w:cstheme="minorHAnsi"/>
          <w:sz w:val="22"/>
          <w:szCs w:val="22"/>
          <w:lang w:eastAsia="en-US"/>
        </w:rPr>
        <w:t>kPa</w:t>
      </w:r>
      <w:proofErr w:type="spellEnd"/>
      <w:r w:rsidRPr="00AE0332">
        <w:rPr>
          <w:rFonts w:ascii="Sylfaen" w:eastAsia="HelveticaNeueLTPro-Roman" w:hAnsi="Sylfaen" w:cstheme="minorHAnsi"/>
          <w:sz w:val="22"/>
          <w:szCs w:val="22"/>
          <w:lang w:eastAsia="en-US"/>
        </w:rPr>
        <w:t xml:space="preserve">). </w:t>
      </w:r>
    </w:p>
    <w:p w14:paraId="51F1DD30" w14:textId="77777777" w:rsidR="00EC3052" w:rsidRPr="00AE0332" w:rsidRDefault="00EC3052" w:rsidP="00EC3052">
      <w:pPr>
        <w:suppressAutoHyphens w:val="0"/>
        <w:autoSpaceDE w:val="0"/>
        <w:autoSpaceDN w:val="0"/>
        <w:adjustRightInd w:val="0"/>
        <w:rPr>
          <w:rFonts w:ascii="Sylfaen" w:eastAsia="HelveticaNeueLTPro-Roman" w:hAnsi="Sylfaen" w:cstheme="minorHAnsi"/>
          <w:sz w:val="22"/>
          <w:szCs w:val="22"/>
          <w:lang w:eastAsia="en-US"/>
        </w:rPr>
      </w:pPr>
      <w:r w:rsidRPr="00AE0332">
        <w:rPr>
          <w:rFonts w:ascii="Sylfaen" w:eastAsia="HelveticaNeueLTPro-Roman" w:hAnsi="Sylfaen" w:cstheme="minorHAnsi"/>
          <w:sz w:val="22"/>
          <w:szCs w:val="22"/>
          <w:lang w:eastAsia="en-US"/>
        </w:rPr>
        <w:t>Dokładność pomiaru częstości oddechów 0 do 70 oddechów na minutę: ±1 oddech na minutę; 71 do 99 oddechów na minutę: ±2 oddechy na minutę. Monitor EtCO2 oferuje: alarmy wysokiego i niskiego poziomu EtCO2, sterowane przez uaktywnienie funkcji ALARMY, alarm FiCO2 (wdychanego CO2), alarm – bezdech (automatyczny)</w:t>
      </w:r>
    </w:p>
    <w:p w14:paraId="46BF643C" w14:textId="77777777" w:rsidR="00EC3052" w:rsidRPr="00AE0332" w:rsidRDefault="00EC3052" w:rsidP="00EC3052">
      <w:pPr>
        <w:suppressAutoHyphens w:val="0"/>
        <w:autoSpaceDE w:val="0"/>
        <w:autoSpaceDN w:val="0"/>
        <w:adjustRightInd w:val="0"/>
        <w:rPr>
          <w:rFonts w:ascii="Sylfaen" w:eastAsia="MinionPro-Regular" w:hAnsi="Sylfaen" w:cstheme="minorHAnsi"/>
          <w:sz w:val="22"/>
          <w:szCs w:val="22"/>
          <w:lang w:eastAsia="en-US"/>
        </w:rPr>
      </w:pPr>
      <w:r w:rsidRPr="00AE0332">
        <w:rPr>
          <w:rFonts w:ascii="Sylfaen" w:eastAsia="MinionPro-Regular" w:hAnsi="Sylfaen" w:cstheme="minorHAnsi"/>
          <w:sz w:val="22"/>
          <w:szCs w:val="22"/>
          <w:lang w:eastAsia="en-US"/>
        </w:rPr>
        <w:t xml:space="preserve">Ad.59. </w:t>
      </w:r>
      <w:r w:rsidRPr="00AE0332">
        <w:rPr>
          <w:rFonts w:ascii="Sylfaen" w:eastAsiaTheme="minorHAnsi" w:hAnsi="Sylfaen" w:cstheme="minorHAnsi"/>
          <w:sz w:val="22"/>
          <w:szCs w:val="22"/>
          <w:lang w:eastAsia="en-US"/>
        </w:rPr>
        <w:t xml:space="preserve">Tempo stymulacji: </w:t>
      </w:r>
      <w:r w:rsidRPr="00AE0332">
        <w:rPr>
          <w:rFonts w:ascii="Sylfaen" w:eastAsia="MinionPro-Regular" w:hAnsi="Sylfaen" w:cstheme="minorHAnsi"/>
          <w:sz w:val="22"/>
          <w:szCs w:val="22"/>
          <w:lang w:eastAsia="en-US"/>
        </w:rPr>
        <w:t xml:space="preserve">od 40 do 170 stymulacji na minutę, </w:t>
      </w:r>
      <w:r w:rsidRPr="00AE0332">
        <w:rPr>
          <w:rFonts w:ascii="Sylfaen" w:eastAsiaTheme="minorHAnsi" w:hAnsi="Sylfaen" w:cstheme="minorHAnsi"/>
          <w:sz w:val="22"/>
          <w:szCs w:val="22"/>
          <w:lang w:eastAsia="en-US"/>
        </w:rPr>
        <w:t xml:space="preserve">Dokładność tempa stymulacji: </w:t>
      </w:r>
      <w:r w:rsidRPr="00AE0332">
        <w:rPr>
          <w:rFonts w:ascii="Sylfaen" w:eastAsia="MinionPro-Regular" w:hAnsi="Sylfaen" w:cstheme="minorHAnsi"/>
          <w:sz w:val="22"/>
          <w:szCs w:val="22"/>
          <w:lang w:eastAsia="en-US"/>
        </w:rPr>
        <w:t>±1,5% dla całego zakresu</w:t>
      </w:r>
    </w:p>
    <w:p w14:paraId="37753DEB" w14:textId="77777777" w:rsidR="00EC3052" w:rsidRPr="00AE0332" w:rsidRDefault="00EC3052" w:rsidP="00EC3052">
      <w:pPr>
        <w:suppressAutoHyphens w:val="0"/>
        <w:autoSpaceDE w:val="0"/>
        <w:autoSpaceDN w:val="0"/>
        <w:adjustRightInd w:val="0"/>
        <w:rPr>
          <w:rFonts w:ascii="Sylfaen" w:eastAsia="MinionPro-Regular" w:hAnsi="Sylfaen" w:cstheme="minorHAnsi"/>
          <w:sz w:val="22"/>
          <w:szCs w:val="22"/>
          <w:lang w:eastAsia="en-US"/>
        </w:rPr>
      </w:pPr>
      <w:r w:rsidRPr="00AE0332">
        <w:rPr>
          <w:rFonts w:ascii="Sylfaen" w:eastAsiaTheme="minorHAnsi" w:hAnsi="Sylfaen" w:cstheme="minorHAnsi"/>
          <w:sz w:val="22"/>
          <w:szCs w:val="22"/>
          <w:lang w:eastAsia="en-US"/>
        </w:rPr>
        <w:t xml:space="preserve">Ad.60,61.  Wyświetlany przedział saturacji: </w:t>
      </w:r>
      <w:r w:rsidRPr="00AE0332">
        <w:rPr>
          <w:rFonts w:ascii="Sylfaen" w:eastAsia="MinionPro-Regular" w:hAnsi="Sylfaen" w:cstheme="minorHAnsi"/>
          <w:sz w:val="22"/>
          <w:szCs w:val="22"/>
          <w:lang w:eastAsia="en-US"/>
        </w:rPr>
        <w:t xml:space="preserve">„&lt;50” w przypadku poziomu poniżej 50%; od 50 do 100%. </w:t>
      </w:r>
      <w:r w:rsidRPr="00AE0332">
        <w:rPr>
          <w:rFonts w:ascii="Sylfaen" w:eastAsiaTheme="minorHAnsi" w:hAnsi="Sylfaen" w:cstheme="minorHAnsi"/>
          <w:sz w:val="22"/>
          <w:szCs w:val="22"/>
          <w:lang w:eastAsia="en-US"/>
        </w:rPr>
        <w:t xml:space="preserve">Dokładność saturacji: </w:t>
      </w:r>
      <w:r w:rsidRPr="00AE0332">
        <w:rPr>
          <w:rFonts w:ascii="Sylfaen" w:eastAsia="MinionPro-Regular" w:hAnsi="Sylfaen" w:cstheme="minorHAnsi"/>
          <w:sz w:val="22"/>
          <w:szCs w:val="22"/>
          <w:lang w:eastAsia="en-US"/>
        </w:rPr>
        <w:t>70–100% (brak danych dla wartości z przedziału 0–69%)</w:t>
      </w:r>
    </w:p>
    <w:p w14:paraId="27D53E55" w14:textId="77777777" w:rsidR="00EC3052" w:rsidRPr="00AE0332" w:rsidRDefault="00EC3052" w:rsidP="00EC3052">
      <w:pPr>
        <w:suppressAutoHyphens w:val="0"/>
        <w:autoSpaceDE w:val="0"/>
        <w:autoSpaceDN w:val="0"/>
        <w:adjustRightInd w:val="0"/>
        <w:rPr>
          <w:rFonts w:ascii="Sylfaen" w:eastAsiaTheme="minorHAnsi" w:hAnsi="Sylfaen" w:cstheme="minorHAnsi"/>
          <w:sz w:val="22"/>
          <w:szCs w:val="22"/>
          <w:lang w:eastAsia="en-US"/>
        </w:rPr>
      </w:pPr>
      <w:r w:rsidRPr="00AE0332">
        <w:rPr>
          <w:rFonts w:ascii="Sylfaen" w:eastAsiaTheme="minorHAnsi" w:hAnsi="Sylfaen" w:cstheme="minorHAnsi"/>
          <w:sz w:val="22"/>
          <w:szCs w:val="22"/>
          <w:lang w:eastAsia="en-US"/>
        </w:rPr>
        <w:t xml:space="preserve">Pacjenci dorośli/ dzieci: </w:t>
      </w:r>
      <w:r w:rsidRPr="00AE0332">
        <w:rPr>
          <w:rFonts w:ascii="Sylfaen" w:eastAsia="MinionPro-Regular" w:hAnsi="Sylfaen" w:cstheme="minorHAnsi"/>
          <w:sz w:val="22"/>
          <w:szCs w:val="22"/>
          <w:lang w:eastAsia="en-US"/>
        </w:rPr>
        <w:t>±2 cyfry (w warunkach bezruchu)</w:t>
      </w:r>
      <w:r w:rsidRPr="00AE0332">
        <w:rPr>
          <w:rFonts w:ascii="Sylfaen" w:eastAsiaTheme="minorHAnsi" w:hAnsi="Sylfaen" w:cstheme="minorHAnsi"/>
          <w:sz w:val="22"/>
          <w:szCs w:val="22"/>
          <w:lang w:eastAsia="en-US"/>
        </w:rPr>
        <w:t xml:space="preserve"> </w:t>
      </w:r>
      <w:r w:rsidRPr="00AE0332">
        <w:rPr>
          <w:rFonts w:ascii="Sylfaen" w:eastAsia="MinionPro-Regular" w:hAnsi="Sylfaen" w:cstheme="minorHAnsi"/>
          <w:sz w:val="22"/>
          <w:szCs w:val="22"/>
          <w:lang w:eastAsia="en-US"/>
        </w:rPr>
        <w:t>±3 cyfry (w warunkach ruchu)</w:t>
      </w:r>
    </w:p>
    <w:p w14:paraId="3AC5142D" w14:textId="77777777" w:rsidR="00EC3052" w:rsidRPr="00AE0332" w:rsidRDefault="00EC3052" w:rsidP="00EC3052">
      <w:pPr>
        <w:suppressAutoHyphens w:val="0"/>
        <w:autoSpaceDE w:val="0"/>
        <w:autoSpaceDN w:val="0"/>
        <w:adjustRightInd w:val="0"/>
        <w:rPr>
          <w:rFonts w:ascii="Sylfaen" w:eastAsia="MinionPro-Regular" w:hAnsi="Sylfaen" w:cstheme="minorHAnsi"/>
          <w:sz w:val="22"/>
          <w:szCs w:val="22"/>
          <w:lang w:eastAsia="en-US"/>
        </w:rPr>
      </w:pPr>
      <w:r w:rsidRPr="00AE0332">
        <w:rPr>
          <w:rFonts w:ascii="Sylfaen" w:eastAsia="MinionPro-Regular" w:hAnsi="Sylfaen" w:cstheme="minorHAnsi"/>
          <w:sz w:val="22"/>
          <w:szCs w:val="22"/>
          <w:lang w:eastAsia="en-US"/>
        </w:rPr>
        <w:t>Dynamiczny wykres słupkowy siły sygnału; Ton tętna podczas wykrycia pulsacji SpO2</w:t>
      </w:r>
    </w:p>
    <w:p w14:paraId="35A3DF42" w14:textId="77777777" w:rsidR="00EC3052" w:rsidRPr="00AE0332" w:rsidRDefault="00EC3052" w:rsidP="00EC3052">
      <w:pPr>
        <w:suppressAutoHyphens w:val="0"/>
        <w:autoSpaceDE w:val="0"/>
        <w:autoSpaceDN w:val="0"/>
        <w:adjustRightInd w:val="0"/>
        <w:rPr>
          <w:rFonts w:ascii="Sylfaen" w:eastAsia="MinionPro-Regular" w:hAnsi="Sylfaen" w:cstheme="minorHAnsi"/>
          <w:sz w:val="22"/>
          <w:szCs w:val="22"/>
          <w:lang w:eastAsia="en-US"/>
        </w:rPr>
      </w:pPr>
      <w:r w:rsidRPr="00AE0332">
        <w:rPr>
          <w:rFonts w:ascii="Sylfaen" w:eastAsiaTheme="minorHAnsi" w:hAnsi="Sylfaen" w:cstheme="minorHAnsi"/>
          <w:sz w:val="22"/>
          <w:szCs w:val="22"/>
          <w:lang w:eastAsia="en-US"/>
        </w:rPr>
        <w:t xml:space="preserve">Przedział częstości tętna: </w:t>
      </w:r>
      <w:r w:rsidRPr="00AE0332">
        <w:rPr>
          <w:rFonts w:ascii="Sylfaen" w:eastAsia="MinionPro-Regular" w:hAnsi="Sylfaen" w:cstheme="minorHAnsi"/>
          <w:sz w:val="22"/>
          <w:szCs w:val="22"/>
          <w:lang w:eastAsia="en-US"/>
        </w:rPr>
        <w:t>od 25 do 240 uderzeń/minutę</w:t>
      </w:r>
    </w:p>
    <w:p w14:paraId="6AB8C9CE" w14:textId="77777777" w:rsidR="00EC3052" w:rsidRPr="00AE0332" w:rsidRDefault="00EC3052" w:rsidP="00EC3052">
      <w:pPr>
        <w:suppressAutoHyphens w:val="0"/>
        <w:autoSpaceDE w:val="0"/>
        <w:autoSpaceDN w:val="0"/>
        <w:adjustRightInd w:val="0"/>
        <w:rPr>
          <w:rFonts w:ascii="Sylfaen" w:eastAsia="MinionPro-Regular" w:hAnsi="Sylfaen" w:cstheme="minorHAnsi"/>
          <w:sz w:val="22"/>
          <w:szCs w:val="22"/>
          <w:lang w:eastAsia="en-US"/>
        </w:rPr>
      </w:pPr>
      <w:r w:rsidRPr="00AE0332">
        <w:rPr>
          <w:rFonts w:ascii="Sylfaen" w:eastAsia="MinionPro-Regular" w:hAnsi="Sylfaen" w:cstheme="minorHAnsi"/>
          <w:sz w:val="22"/>
          <w:szCs w:val="22"/>
          <w:lang w:eastAsia="en-US"/>
        </w:rPr>
        <w:t xml:space="preserve">Ad.66,67,68. </w:t>
      </w:r>
      <w:r w:rsidRPr="00AE0332">
        <w:rPr>
          <w:rFonts w:ascii="Sylfaen" w:hAnsi="Sylfaen" w:cstheme="minorHAnsi"/>
          <w:sz w:val="22"/>
          <w:szCs w:val="22"/>
        </w:rPr>
        <w:t>Pomiar nieinwazyjny ciśnienia krwi (NIBP) w trybie ręcznym i automatycznym</w:t>
      </w:r>
      <w:r w:rsidRPr="00AE0332">
        <w:rPr>
          <w:rFonts w:ascii="Sylfaen" w:eastAsia="MinionPro-Regular" w:hAnsi="Sylfaen" w:cstheme="minorHAnsi"/>
          <w:sz w:val="22"/>
          <w:szCs w:val="22"/>
          <w:lang w:eastAsia="en-US"/>
        </w:rPr>
        <w:t xml:space="preserve">; </w:t>
      </w:r>
      <w:r w:rsidRPr="00AE0332">
        <w:rPr>
          <w:rFonts w:ascii="Sylfaen" w:eastAsiaTheme="minorHAnsi" w:hAnsi="Sylfaen" w:cstheme="minorHAnsi"/>
          <w:sz w:val="22"/>
          <w:szCs w:val="22"/>
          <w:lang w:eastAsia="en-US"/>
        </w:rPr>
        <w:t xml:space="preserve">Zakres pomiaru ciśnienia skurczowego: </w:t>
      </w:r>
      <w:r w:rsidRPr="00AE0332">
        <w:rPr>
          <w:rFonts w:ascii="Sylfaen" w:eastAsia="MinionPro-Regular" w:hAnsi="Sylfaen" w:cstheme="minorHAnsi"/>
          <w:sz w:val="22"/>
          <w:szCs w:val="22"/>
          <w:lang w:eastAsia="en-US"/>
        </w:rPr>
        <w:t xml:space="preserve">od 30 do 255 mmHg, </w:t>
      </w:r>
      <w:r w:rsidRPr="00AE0332">
        <w:rPr>
          <w:rFonts w:ascii="Sylfaen" w:eastAsiaTheme="minorHAnsi" w:hAnsi="Sylfaen" w:cstheme="minorHAnsi"/>
          <w:sz w:val="22"/>
          <w:szCs w:val="22"/>
          <w:lang w:eastAsia="en-US"/>
        </w:rPr>
        <w:t xml:space="preserve">Zakres pomiaru ciśnienia rozkurczowego: </w:t>
      </w:r>
      <w:r w:rsidRPr="00AE0332">
        <w:rPr>
          <w:rFonts w:ascii="Sylfaen" w:eastAsia="MinionPro-Regular" w:hAnsi="Sylfaen" w:cstheme="minorHAnsi"/>
          <w:sz w:val="22"/>
          <w:szCs w:val="22"/>
          <w:lang w:eastAsia="en-US"/>
        </w:rPr>
        <w:t xml:space="preserve">od 15 do 220 mmHg, </w:t>
      </w:r>
      <w:r w:rsidRPr="00AE0332">
        <w:rPr>
          <w:rFonts w:ascii="Sylfaen" w:eastAsiaTheme="minorHAnsi" w:hAnsi="Sylfaen" w:cstheme="minorHAnsi"/>
          <w:sz w:val="22"/>
          <w:szCs w:val="22"/>
          <w:lang w:eastAsia="en-US"/>
        </w:rPr>
        <w:t xml:space="preserve">Zakres pomiaru średniego ciśnienia tętniczego: </w:t>
      </w:r>
      <w:r w:rsidRPr="00AE0332">
        <w:rPr>
          <w:rFonts w:ascii="Sylfaen" w:eastAsia="MinionPro-Regular" w:hAnsi="Sylfaen" w:cstheme="minorHAnsi"/>
          <w:sz w:val="22"/>
          <w:szCs w:val="22"/>
          <w:lang w:eastAsia="en-US"/>
        </w:rPr>
        <w:t xml:space="preserve">od 20 do 235 mmHg, </w:t>
      </w:r>
      <w:r w:rsidRPr="00AE0332">
        <w:rPr>
          <w:rFonts w:ascii="Sylfaen" w:eastAsiaTheme="minorHAnsi" w:hAnsi="Sylfaen" w:cstheme="minorHAnsi"/>
          <w:sz w:val="22"/>
          <w:szCs w:val="22"/>
          <w:lang w:eastAsia="en-US"/>
        </w:rPr>
        <w:t xml:space="preserve">Dokładność pomiaru ciśnienia krwi: </w:t>
      </w:r>
      <w:r w:rsidRPr="00AE0332">
        <w:rPr>
          <w:rFonts w:ascii="Sylfaen" w:eastAsia="MinionPro-Regular" w:hAnsi="Sylfaen" w:cstheme="minorHAnsi"/>
          <w:sz w:val="22"/>
          <w:szCs w:val="22"/>
          <w:lang w:eastAsia="en-US"/>
        </w:rPr>
        <w:t xml:space="preserve">±5 mmHg; </w:t>
      </w:r>
      <w:r w:rsidRPr="00AE0332">
        <w:rPr>
          <w:rFonts w:ascii="Sylfaen" w:eastAsiaTheme="minorHAnsi" w:hAnsi="Sylfaen" w:cstheme="minorHAnsi"/>
          <w:sz w:val="22"/>
          <w:szCs w:val="22"/>
          <w:lang w:eastAsia="en-US"/>
        </w:rPr>
        <w:t xml:space="preserve">Odstęp czasu przy pomiarach automatycznych: </w:t>
      </w:r>
      <w:r w:rsidRPr="00AE0332">
        <w:rPr>
          <w:rFonts w:ascii="Sylfaen" w:eastAsia="MinionPro-Regular" w:hAnsi="Sylfaen" w:cstheme="minorHAnsi"/>
          <w:sz w:val="22"/>
          <w:szCs w:val="22"/>
          <w:lang w:eastAsia="en-US"/>
        </w:rPr>
        <w:t>do wyboru przez użytkownika, od 2 min do 60 min.</w:t>
      </w:r>
    </w:p>
    <w:p w14:paraId="4E22D414" w14:textId="58F30BDB" w:rsidR="00EC3052" w:rsidRPr="00AE0332" w:rsidRDefault="00EC3052" w:rsidP="00EC3052">
      <w:pPr>
        <w:suppressAutoHyphens w:val="0"/>
        <w:autoSpaceDE w:val="0"/>
        <w:autoSpaceDN w:val="0"/>
        <w:adjustRightInd w:val="0"/>
        <w:rPr>
          <w:rFonts w:ascii="Sylfaen" w:eastAsia="MinionPro-Regular" w:hAnsi="Sylfaen" w:cstheme="minorHAnsi"/>
          <w:sz w:val="22"/>
          <w:szCs w:val="22"/>
          <w:lang w:eastAsia="en-US"/>
        </w:rPr>
      </w:pPr>
      <w:r w:rsidRPr="00AE0332">
        <w:rPr>
          <w:rFonts w:ascii="Sylfaen" w:eastAsia="MinionPro-Regular" w:hAnsi="Sylfaen" w:cstheme="minorHAnsi"/>
          <w:sz w:val="22"/>
          <w:szCs w:val="22"/>
          <w:lang w:eastAsia="en-US"/>
        </w:rPr>
        <w:t>Odpowiedź na pytanie nr 1</w:t>
      </w:r>
    </w:p>
    <w:p w14:paraId="3E2E7F6F" w14:textId="4A41A00F" w:rsidR="00EC3052" w:rsidRPr="00AE0332" w:rsidRDefault="00EC3052" w:rsidP="00EC3052">
      <w:pPr>
        <w:suppressAutoHyphens w:val="0"/>
        <w:autoSpaceDE w:val="0"/>
        <w:autoSpaceDN w:val="0"/>
        <w:adjustRightInd w:val="0"/>
        <w:rPr>
          <w:rFonts w:ascii="Sylfaen" w:eastAsia="MinionPro-Regular" w:hAnsi="Sylfaen" w:cstheme="minorHAnsi"/>
          <w:sz w:val="22"/>
          <w:szCs w:val="22"/>
          <w:lang w:eastAsia="en-US"/>
        </w:rPr>
      </w:pPr>
      <w:r w:rsidRPr="00AE0332">
        <w:rPr>
          <w:rFonts w:ascii="Sylfaen" w:eastAsia="MinionPro-Regular" w:hAnsi="Sylfaen" w:cstheme="minorHAnsi"/>
          <w:sz w:val="22"/>
          <w:szCs w:val="22"/>
          <w:lang w:eastAsia="en-US"/>
        </w:rPr>
        <w:t>Patrz modyfikacja SWZ.</w:t>
      </w:r>
    </w:p>
    <w:p w14:paraId="4DBCDFE2" w14:textId="77777777" w:rsidR="00EC3052" w:rsidRPr="00AE0332" w:rsidRDefault="00EC3052" w:rsidP="00EC3052">
      <w:pPr>
        <w:suppressAutoHyphens w:val="0"/>
        <w:autoSpaceDE w:val="0"/>
        <w:autoSpaceDN w:val="0"/>
        <w:adjustRightInd w:val="0"/>
        <w:rPr>
          <w:rFonts w:ascii="Sylfaen" w:eastAsia="MinionPro-Regular" w:hAnsi="Sylfaen" w:cstheme="minorHAnsi"/>
          <w:sz w:val="22"/>
          <w:szCs w:val="22"/>
          <w:lang w:eastAsia="en-US"/>
        </w:rPr>
      </w:pPr>
    </w:p>
    <w:p w14:paraId="44CE8665" w14:textId="575DF154" w:rsidR="00EC3052" w:rsidRPr="00AE0332" w:rsidRDefault="00EC3052" w:rsidP="00EC3052">
      <w:pPr>
        <w:suppressAutoHyphens w:val="0"/>
        <w:autoSpaceDE w:val="0"/>
        <w:autoSpaceDN w:val="0"/>
        <w:adjustRightInd w:val="0"/>
        <w:rPr>
          <w:rFonts w:ascii="Sylfaen" w:eastAsia="MinionPro-Regular" w:hAnsi="Sylfaen" w:cstheme="minorHAnsi"/>
          <w:sz w:val="22"/>
          <w:szCs w:val="22"/>
          <w:lang w:eastAsia="en-US"/>
        </w:rPr>
      </w:pPr>
      <w:r w:rsidRPr="00AE0332">
        <w:rPr>
          <w:rFonts w:ascii="Sylfaen" w:eastAsia="MinionPro-Regular" w:hAnsi="Sylfaen" w:cstheme="minorHAnsi"/>
          <w:sz w:val="22"/>
          <w:szCs w:val="22"/>
          <w:lang w:eastAsia="en-US"/>
        </w:rPr>
        <w:t>Pytanie nr 2</w:t>
      </w:r>
    </w:p>
    <w:p w14:paraId="292EE0DA" w14:textId="77777777" w:rsidR="00EC3052" w:rsidRPr="00AE0332" w:rsidRDefault="00EC3052" w:rsidP="00EC3052">
      <w:pPr>
        <w:suppressAutoHyphens w:val="0"/>
        <w:rPr>
          <w:rFonts w:ascii="Sylfaen" w:eastAsia="Times New Roman" w:hAnsi="Sylfaen" w:cstheme="minorHAnsi"/>
          <w:sz w:val="22"/>
          <w:szCs w:val="22"/>
          <w:lang w:eastAsia="ar-SA"/>
        </w:rPr>
      </w:pPr>
      <w:r w:rsidRPr="00AE0332">
        <w:rPr>
          <w:rFonts w:ascii="Sylfaen" w:hAnsi="Sylfaen" w:cstheme="minorHAnsi"/>
          <w:sz w:val="22"/>
          <w:szCs w:val="22"/>
        </w:rPr>
        <w:t>W pkt.15. Zamawiający opisał wymóg : „…codziennie wykonywanego testu bez włączenia defibrylatora przy zamontowanym akumulatorze, łyżkach i podłączeniu do sieci elektrycznej (pełny test).”. Czy w związku z zamieszczonym opisem zamawiający wymaga, by codzienny auto test był wykonywany w następujących trybach:  pracy akumulatorowej, akumulatorowo-sieciowej i sieciowej?</w:t>
      </w:r>
    </w:p>
    <w:p w14:paraId="0674E005" w14:textId="44EF405A" w:rsidR="00EC3052" w:rsidRPr="00AE0332" w:rsidRDefault="00EC3052" w:rsidP="00EC3052">
      <w:pPr>
        <w:suppressAutoHyphens w:val="0"/>
        <w:rPr>
          <w:rFonts w:ascii="Sylfaen" w:hAnsi="Sylfaen" w:cstheme="minorHAnsi"/>
          <w:sz w:val="22"/>
          <w:szCs w:val="22"/>
        </w:rPr>
      </w:pPr>
      <w:r w:rsidRPr="00AE0332">
        <w:rPr>
          <w:rFonts w:ascii="Sylfaen" w:hAnsi="Sylfaen" w:cstheme="minorHAnsi"/>
          <w:sz w:val="22"/>
          <w:szCs w:val="22"/>
        </w:rPr>
        <w:t>Odpowiedź na pytanie nr 2</w:t>
      </w:r>
    </w:p>
    <w:p w14:paraId="7C23947B" w14:textId="77777777" w:rsidR="00EC3052" w:rsidRPr="00AE0332" w:rsidRDefault="00EC3052" w:rsidP="00EC3052">
      <w:pPr>
        <w:jc w:val="both"/>
        <w:rPr>
          <w:rFonts w:ascii="Sylfaen" w:hAnsi="Sylfaen"/>
          <w:sz w:val="22"/>
          <w:szCs w:val="22"/>
        </w:rPr>
      </w:pPr>
      <w:r w:rsidRPr="00AE0332">
        <w:rPr>
          <w:rFonts w:ascii="Sylfaen" w:hAnsi="Sylfaen"/>
          <w:sz w:val="22"/>
          <w:szCs w:val="22"/>
        </w:rPr>
        <w:t>Zgodnie z SWZ.</w:t>
      </w:r>
    </w:p>
    <w:p w14:paraId="5F6A4D9C" w14:textId="77777777" w:rsidR="00EC3052" w:rsidRPr="00AE0332" w:rsidRDefault="00EC3052" w:rsidP="00EC3052">
      <w:pPr>
        <w:suppressAutoHyphens w:val="0"/>
        <w:rPr>
          <w:rFonts w:ascii="Sylfaen" w:hAnsi="Sylfaen" w:cstheme="minorHAnsi"/>
          <w:sz w:val="22"/>
          <w:szCs w:val="22"/>
        </w:rPr>
      </w:pPr>
    </w:p>
    <w:p w14:paraId="34F203B0" w14:textId="47F8C206" w:rsidR="00EC3052" w:rsidRPr="00AE0332" w:rsidRDefault="00EC3052" w:rsidP="00EC3052">
      <w:pPr>
        <w:suppressAutoHyphens w:val="0"/>
        <w:rPr>
          <w:rFonts w:ascii="Sylfaen" w:hAnsi="Sylfaen" w:cstheme="minorHAnsi"/>
          <w:sz w:val="22"/>
          <w:szCs w:val="22"/>
        </w:rPr>
      </w:pPr>
      <w:r w:rsidRPr="00AE0332">
        <w:rPr>
          <w:rFonts w:ascii="Sylfaen" w:hAnsi="Sylfaen" w:cstheme="minorHAnsi"/>
          <w:sz w:val="22"/>
          <w:szCs w:val="22"/>
        </w:rPr>
        <w:t>Pytanie nr 3</w:t>
      </w:r>
    </w:p>
    <w:p w14:paraId="4CC2C49B" w14:textId="77777777" w:rsidR="00EC3052" w:rsidRPr="00AE0332" w:rsidRDefault="00EC3052" w:rsidP="00EC3052">
      <w:pPr>
        <w:rPr>
          <w:rFonts w:ascii="Sylfaen" w:hAnsi="Sylfaen" w:cstheme="minorHAnsi"/>
          <w:sz w:val="22"/>
          <w:szCs w:val="22"/>
        </w:rPr>
      </w:pPr>
      <w:r w:rsidRPr="00AE0332">
        <w:rPr>
          <w:rFonts w:ascii="Sylfaen" w:hAnsi="Sylfaen" w:cstheme="minorHAnsi"/>
          <w:sz w:val="22"/>
          <w:szCs w:val="22"/>
        </w:rPr>
        <w:t xml:space="preserve">Zamawiający w punkcie 16. specyfikacji warunków zamówienia, opisał: „Wydruk testu potwierdzającego jego wykonanie. Na wydruku: data/godzina, numer seryjny aparatu, wynik testu. Dostępne archiwum przeprowadzonych testów z możliwością ponownego wydruku.”.  Czy w związku z przytoczonym parametrem Zamawiający wymaga, aby wykonanie auto testu odbywało się z wydrukiem i przesłaniem danych o działu technicznego lub koordynatora medycznego poprzez teleinformatyczny system szpitalny </w:t>
      </w:r>
      <w:proofErr w:type="spellStart"/>
      <w:r w:rsidRPr="00AE0332">
        <w:rPr>
          <w:rFonts w:ascii="Sylfaen" w:hAnsi="Sylfaen" w:cstheme="minorHAnsi"/>
          <w:sz w:val="22"/>
          <w:szCs w:val="22"/>
        </w:rPr>
        <w:t>Lifenet</w:t>
      </w:r>
      <w:proofErr w:type="spellEnd"/>
      <w:r w:rsidRPr="00AE0332">
        <w:rPr>
          <w:rFonts w:ascii="Sylfaen" w:hAnsi="Sylfaen" w:cstheme="minorHAnsi"/>
          <w:sz w:val="22"/>
          <w:szCs w:val="22"/>
        </w:rPr>
        <w:t>.</w:t>
      </w:r>
    </w:p>
    <w:p w14:paraId="66FD4F44" w14:textId="0C7CAE95" w:rsidR="00EC3052" w:rsidRPr="00AE0332" w:rsidRDefault="00EC3052" w:rsidP="00EC3052">
      <w:pPr>
        <w:suppressAutoHyphens w:val="0"/>
        <w:rPr>
          <w:rFonts w:ascii="Sylfaen" w:hAnsi="Sylfaen" w:cstheme="minorHAnsi"/>
          <w:sz w:val="22"/>
          <w:szCs w:val="22"/>
        </w:rPr>
      </w:pPr>
      <w:r w:rsidRPr="00AE0332">
        <w:rPr>
          <w:rFonts w:ascii="Sylfaen" w:hAnsi="Sylfaen" w:cstheme="minorHAnsi"/>
          <w:sz w:val="22"/>
          <w:szCs w:val="22"/>
        </w:rPr>
        <w:t>Odpowiedź na pytane nr 3</w:t>
      </w:r>
    </w:p>
    <w:p w14:paraId="7D4C88A8" w14:textId="77777777" w:rsidR="00EC3052" w:rsidRPr="00AE0332" w:rsidRDefault="00EC3052" w:rsidP="00EC3052">
      <w:pPr>
        <w:jc w:val="both"/>
        <w:rPr>
          <w:rFonts w:ascii="Sylfaen" w:hAnsi="Sylfaen"/>
          <w:sz w:val="22"/>
          <w:szCs w:val="22"/>
        </w:rPr>
      </w:pPr>
      <w:r w:rsidRPr="00AE0332">
        <w:rPr>
          <w:rFonts w:ascii="Sylfaen" w:hAnsi="Sylfaen"/>
          <w:sz w:val="22"/>
          <w:szCs w:val="22"/>
        </w:rPr>
        <w:t>Zgodnie z SWZ.</w:t>
      </w:r>
    </w:p>
    <w:p w14:paraId="595011CD" w14:textId="77777777" w:rsidR="00EC3052" w:rsidRPr="00AE0332" w:rsidRDefault="00EC3052" w:rsidP="00EC3052">
      <w:pPr>
        <w:suppressAutoHyphens w:val="0"/>
        <w:rPr>
          <w:rFonts w:ascii="Sylfaen" w:hAnsi="Sylfaen" w:cstheme="minorHAnsi"/>
          <w:sz w:val="22"/>
          <w:szCs w:val="22"/>
        </w:rPr>
      </w:pPr>
    </w:p>
    <w:p w14:paraId="616FBEC7" w14:textId="0A871E5C" w:rsidR="00EC3052" w:rsidRPr="00AE0332" w:rsidRDefault="00EC3052" w:rsidP="00EC3052">
      <w:pPr>
        <w:suppressAutoHyphens w:val="0"/>
        <w:rPr>
          <w:rFonts w:ascii="Sylfaen" w:hAnsi="Sylfaen" w:cstheme="minorHAnsi"/>
          <w:sz w:val="22"/>
          <w:szCs w:val="22"/>
        </w:rPr>
      </w:pPr>
      <w:r w:rsidRPr="00AE0332">
        <w:rPr>
          <w:rFonts w:ascii="Sylfaen" w:hAnsi="Sylfaen" w:cstheme="minorHAnsi"/>
          <w:sz w:val="22"/>
          <w:szCs w:val="22"/>
        </w:rPr>
        <w:t>Pytanie nr 4</w:t>
      </w:r>
    </w:p>
    <w:p w14:paraId="1ED6BF31" w14:textId="77777777" w:rsidR="00EC3052" w:rsidRPr="00AE0332" w:rsidRDefault="00EC3052" w:rsidP="00EC3052">
      <w:pPr>
        <w:suppressAutoHyphens w:val="0"/>
        <w:rPr>
          <w:rFonts w:ascii="Sylfaen" w:eastAsia="HelveticaNeueLTPro-Roman" w:hAnsi="Sylfaen" w:cstheme="minorHAnsi"/>
          <w:sz w:val="22"/>
          <w:szCs w:val="22"/>
        </w:rPr>
      </w:pPr>
      <w:r w:rsidRPr="00AE0332">
        <w:rPr>
          <w:rFonts w:ascii="Sylfaen" w:hAnsi="Sylfaen" w:cstheme="minorHAnsi"/>
          <w:sz w:val="22"/>
          <w:szCs w:val="22"/>
        </w:rPr>
        <w:t xml:space="preserve">Ad.19. Czy Zamawiający będzie wymagał aby zapis danych odbywał się za pomocą transmisji: drogą bezprzewodową (Bluetooth, modem) lub </w:t>
      </w:r>
      <w:r w:rsidRPr="00AE0332">
        <w:rPr>
          <w:rFonts w:ascii="Sylfaen" w:eastAsia="HelveticaNeueLTPro-Roman" w:hAnsi="Sylfaen" w:cstheme="minorHAnsi"/>
          <w:sz w:val="22"/>
          <w:szCs w:val="22"/>
        </w:rPr>
        <w:t>bezpośrednie połączenie przewodowe</w:t>
      </w:r>
      <w:r w:rsidRPr="00AE0332">
        <w:rPr>
          <w:rFonts w:ascii="Sylfaen" w:hAnsi="Sylfaen" w:cstheme="minorHAnsi"/>
          <w:sz w:val="22"/>
          <w:szCs w:val="22"/>
        </w:rPr>
        <w:t xml:space="preserve"> z defibrylatora do komputera PC. Dzięki takiemu połączeniu z defibrylatora do komputera, transmisja </w:t>
      </w:r>
      <w:r w:rsidRPr="00AE0332">
        <w:rPr>
          <w:rFonts w:ascii="Sylfaen" w:eastAsia="HelveticaNeueLTPro-Roman" w:hAnsi="Sylfaen" w:cstheme="minorHAnsi"/>
          <w:sz w:val="22"/>
          <w:szCs w:val="22"/>
        </w:rPr>
        <w:t>eliminuje możliwości potencjalnego zagubienia danych medycznych bez konieczności używania nośników w postaci karty pamięci lub pendrive.</w:t>
      </w:r>
    </w:p>
    <w:p w14:paraId="2F718C53" w14:textId="67886791" w:rsidR="00EC3052" w:rsidRPr="00AE0332" w:rsidRDefault="00EC3052" w:rsidP="00EC3052">
      <w:pPr>
        <w:suppressAutoHyphens w:val="0"/>
        <w:rPr>
          <w:rFonts w:ascii="Sylfaen" w:eastAsia="HelveticaNeueLTPro-Roman" w:hAnsi="Sylfaen" w:cstheme="minorHAnsi"/>
          <w:sz w:val="22"/>
          <w:szCs w:val="22"/>
        </w:rPr>
      </w:pPr>
      <w:r w:rsidRPr="00AE0332">
        <w:rPr>
          <w:rFonts w:ascii="Sylfaen" w:eastAsia="HelveticaNeueLTPro-Roman" w:hAnsi="Sylfaen" w:cstheme="minorHAnsi"/>
          <w:sz w:val="22"/>
          <w:szCs w:val="22"/>
        </w:rPr>
        <w:t>Odpowiedź na pytanie nr 4</w:t>
      </w:r>
    </w:p>
    <w:p w14:paraId="56A7C565" w14:textId="77777777" w:rsidR="00EC3052" w:rsidRPr="00AE0332" w:rsidRDefault="00EC3052" w:rsidP="00EC3052">
      <w:pPr>
        <w:jc w:val="both"/>
        <w:rPr>
          <w:rFonts w:ascii="Sylfaen" w:hAnsi="Sylfaen"/>
          <w:sz w:val="22"/>
          <w:szCs w:val="22"/>
        </w:rPr>
      </w:pPr>
      <w:r w:rsidRPr="00AE0332">
        <w:rPr>
          <w:rFonts w:ascii="Sylfaen" w:hAnsi="Sylfaen"/>
          <w:sz w:val="22"/>
          <w:szCs w:val="22"/>
        </w:rPr>
        <w:t>Zgodnie z SWZ.</w:t>
      </w:r>
    </w:p>
    <w:p w14:paraId="73A07086" w14:textId="77777777" w:rsidR="00EC3052" w:rsidRPr="00AE0332" w:rsidRDefault="00EC3052" w:rsidP="00EC3052">
      <w:pPr>
        <w:suppressAutoHyphens w:val="0"/>
        <w:rPr>
          <w:rFonts w:ascii="Sylfaen" w:eastAsia="HelveticaNeueLTPro-Roman" w:hAnsi="Sylfaen" w:cstheme="minorHAnsi"/>
          <w:sz w:val="22"/>
          <w:szCs w:val="22"/>
        </w:rPr>
      </w:pPr>
    </w:p>
    <w:p w14:paraId="27240E45" w14:textId="4875FA96" w:rsidR="00EC3052" w:rsidRPr="00AE0332" w:rsidRDefault="00EC3052" w:rsidP="00EC3052">
      <w:pPr>
        <w:suppressAutoHyphens w:val="0"/>
        <w:rPr>
          <w:rFonts w:ascii="Sylfaen" w:eastAsia="HelveticaNeueLTPro-Roman" w:hAnsi="Sylfaen" w:cstheme="minorHAnsi"/>
          <w:sz w:val="22"/>
          <w:szCs w:val="22"/>
        </w:rPr>
      </w:pPr>
      <w:r w:rsidRPr="00AE0332">
        <w:rPr>
          <w:rFonts w:ascii="Sylfaen" w:eastAsia="HelveticaNeueLTPro-Roman" w:hAnsi="Sylfaen" w:cstheme="minorHAnsi"/>
          <w:sz w:val="22"/>
          <w:szCs w:val="22"/>
        </w:rPr>
        <w:t>Pytanie nr 5</w:t>
      </w:r>
    </w:p>
    <w:p w14:paraId="3221179B" w14:textId="77777777" w:rsidR="00EC3052" w:rsidRPr="00AE0332" w:rsidRDefault="00EC3052" w:rsidP="00EC3052">
      <w:pPr>
        <w:rPr>
          <w:rFonts w:ascii="Sylfaen" w:eastAsia="Times New Roman" w:hAnsi="Sylfaen" w:cstheme="minorHAnsi"/>
          <w:sz w:val="22"/>
          <w:szCs w:val="22"/>
        </w:rPr>
      </w:pPr>
      <w:r w:rsidRPr="00AE0332">
        <w:rPr>
          <w:rFonts w:ascii="Sylfaen" w:hAnsi="Sylfaen" w:cstheme="minorHAnsi"/>
          <w:sz w:val="22"/>
          <w:szCs w:val="22"/>
        </w:rPr>
        <w:t>Ad.37. Zamawiający we wskazanym punkcie opisał tryb defibrylacji półautomatycznej AED. Czy w związku z tym Zamawiający wymaga, by urządzenie posiadało zabezpieczenie w celu wykrywania ruchu pacjenta podczas oceny jego stanu? Tryb AED jest wykorzystywany przez osoby nieposiadające wystarczającej biegłości w posługiwaniu się defibrylatorem manualnym. Opisana funkcjonalność zwiększa pewność poprawnego, bezpiecznego użycia defibrylatora przez osoby korzystające z opisanego trybu</w:t>
      </w:r>
    </w:p>
    <w:p w14:paraId="3A936BC7" w14:textId="77777777" w:rsidR="00EC3052" w:rsidRPr="00AE0332" w:rsidRDefault="00EC3052" w:rsidP="00EC3052">
      <w:pPr>
        <w:rPr>
          <w:rFonts w:ascii="Sylfaen" w:hAnsi="Sylfaen" w:cstheme="minorHAnsi"/>
          <w:sz w:val="22"/>
          <w:szCs w:val="22"/>
        </w:rPr>
      </w:pPr>
      <w:r w:rsidRPr="00AE0332">
        <w:rPr>
          <w:rFonts w:ascii="Sylfaen" w:hAnsi="Sylfaen" w:cstheme="minorHAnsi"/>
          <w:sz w:val="22"/>
          <w:szCs w:val="22"/>
        </w:rPr>
        <w:t>Funkcja monitorowania resuscytacji</w:t>
      </w:r>
    </w:p>
    <w:p w14:paraId="4F720E6E" w14:textId="77777777" w:rsidR="00EC3052" w:rsidRPr="00AE0332" w:rsidRDefault="00EC3052" w:rsidP="00EC3052">
      <w:pPr>
        <w:rPr>
          <w:rFonts w:ascii="Sylfaen" w:hAnsi="Sylfaen"/>
          <w:sz w:val="22"/>
          <w:szCs w:val="22"/>
        </w:rPr>
      </w:pPr>
      <w:r w:rsidRPr="00AE0332">
        <w:rPr>
          <w:rFonts w:ascii="Sylfaen" w:hAnsi="Sylfaen" w:cstheme="minorHAnsi"/>
          <w:color w:val="000000"/>
          <w:sz w:val="22"/>
          <w:szCs w:val="22"/>
        </w:rPr>
        <w:t>Odpowiedź na pytanie nr 5</w:t>
      </w:r>
      <w:r w:rsidRPr="00AE0332">
        <w:rPr>
          <w:rFonts w:ascii="Sylfaen" w:hAnsi="Sylfaen" w:cstheme="minorHAnsi"/>
          <w:color w:val="000000"/>
          <w:sz w:val="22"/>
          <w:szCs w:val="22"/>
        </w:rPr>
        <w:br/>
      </w:r>
      <w:r w:rsidRPr="00AE0332">
        <w:rPr>
          <w:rFonts w:ascii="Sylfaen" w:hAnsi="Sylfaen"/>
          <w:sz w:val="22"/>
          <w:szCs w:val="22"/>
        </w:rPr>
        <w:t>Zgodnie z SWZ.</w:t>
      </w:r>
    </w:p>
    <w:p w14:paraId="449A7C4C" w14:textId="65A06DF9" w:rsidR="00EC3052" w:rsidRPr="00AE0332" w:rsidRDefault="00EC3052" w:rsidP="00EC3052">
      <w:pPr>
        <w:rPr>
          <w:rFonts w:ascii="Sylfaen" w:hAnsi="Sylfaen" w:cstheme="minorHAnsi"/>
          <w:color w:val="000000"/>
          <w:sz w:val="22"/>
          <w:szCs w:val="22"/>
        </w:rPr>
      </w:pPr>
    </w:p>
    <w:p w14:paraId="43F68C7D" w14:textId="2D8217BA" w:rsidR="00EC3052" w:rsidRPr="00AE0332" w:rsidRDefault="00EC3052" w:rsidP="00EC3052">
      <w:pPr>
        <w:rPr>
          <w:rFonts w:ascii="Sylfaen" w:hAnsi="Sylfaen" w:cstheme="minorHAnsi"/>
          <w:color w:val="000000"/>
          <w:sz w:val="22"/>
          <w:szCs w:val="22"/>
        </w:rPr>
      </w:pPr>
      <w:r w:rsidRPr="00AE0332">
        <w:rPr>
          <w:rFonts w:ascii="Sylfaen" w:hAnsi="Sylfaen" w:cstheme="minorHAnsi"/>
          <w:color w:val="000000"/>
          <w:sz w:val="22"/>
          <w:szCs w:val="22"/>
        </w:rPr>
        <w:t>Pytanie nr 6</w:t>
      </w:r>
    </w:p>
    <w:p w14:paraId="759F42A1" w14:textId="77777777" w:rsidR="00EC3052" w:rsidRPr="00EC3052" w:rsidRDefault="00EC3052" w:rsidP="00EC3052">
      <w:pPr>
        <w:suppressAutoHyphens w:val="0"/>
        <w:autoSpaceDE w:val="0"/>
        <w:autoSpaceDN w:val="0"/>
        <w:adjustRightInd w:val="0"/>
        <w:rPr>
          <w:rFonts w:ascii="Sylfaen" w:hAnsi="Sylfaen" w:cstheme="minorHAnsi"/>
          <w:sz w:val="22"/>
          <w:szCs w:val="22"/>
        </w:rPr>
      </w:pPr>
      <w:r w:rsidRPr="00AE0332">
        <w:rPr>
          <w:rFonts w:ascii="Sylfaen" w:hAnsi="Sylfaen" w:cstheme="minorHAnsi"/>
          <w:sz w:val="22"/>
          <w:szCs w:val="22"/>
        </w:rPr>
        <w:t>Ad.20. Czy w związku z tym, że nie ma jednoznacznych badań wykazujących poprawę przeżywalności pacjentów u których monitorowano jakość uciśnięć klatki piersiowej opisanym przez Zamawiającego rozwiązaniem (działanie tego typu czujników jest obarczone bardzo dużym błędem pomiarowym – opisano w przytoczonych wytycznych Resuscytacji Krążeniowo-Oddechowej ERC i AHA 2015), Zamawiający zrezygnuje</w:t>
      </w:r>
      <w:r w:rsidRPr="00EC3052">
        <w:rPr>
          <w:rFonts w:ascii="Sylfaen" w:hAnsi="Sylfaen" w:cstheme="minorHAnsi"/>
          <w:sz w:val="22"/>
          <w:szCs w:val="22"/>
        </w:rPr>
        <w:t xml:space="preserve"> z tego parametru?</w:t>
      </w:r>
    </w:p>
    <w:p w14:paraId="6F8EBF14" w14:textId="6143E700" w:rsidR="00EC3052" w:rsidRPr="00EC3052" w:rsidRDefault="00EC3052" w:rsidP="00EC3052">
      <w:pPr>
        <w:suppressAutoHyphens w:val="0"/>
        <w:autoSpaceDE w:val="0"/>
        <w:autoSpaceDN w:val="0"/>
        <w:adjustRightInd w:val="0"/>
        <w:rPr>
          <w:rFonts w:ascii="Sylfaen" w:hAnsi="Sylfaen" w:cstheme="minorHAnsi"/>
          <w:sz w:val="22"/>
          <w:szCs w:val="22"/>
        </w:rPr>
      </w:pPr>
      <w:r w:rsidRPr="00EC3052">
        <w:rPr>
          <w:rFonts w:ascii="Sylfaen" w:hAnsi="Sylfaen" w:cstheme="minorHAnsi"/>
          <w:sz w:val="22"/>
          <w:szCs w:val="22"/>
        </w:rPr>
        <w:t>Odpowiedź na pytanie nr 6</w:t>
      </w:r>
    </w:p>
    <w:p w14:paraId="642E216F" w14:textId="40DAD119" w:rsidR="00EC3052" w:rsidRPr="00EC3052" w:rsidRDefault="00EC3052" w:rsidP="00B20A12">
      <w:pPr>
        <w:jc w:val="both"/>
        <w:rPr>
          <w:rFonts w:ascii="Sylfaen" w:hAnsi="Sylfaen"/>
          <w:sz w:val="22"/>
          <w:szCs w:val="22"/>
        </w:rPr>
      </w:pPr>
      <w:r w:rsidRPr="00EC3052">
        <w:rPr>
          <w:rFonts w:ascii="Sylfaen" w:hAnsi="Sylfaen"/>
          <w:sz w:val="22"/>
          <w:szCs w:val="22"/>
        </w:rPr>
        <w:t>Zgodnie z SWZ.</w:t>
      </w:r>
    </w:p>
    <w:p w14:paraId="60722E0C" w14:textId="77777777" w:rsidR="004C5F77" w:rsidRPr="00EC3052" w:rsidRDefault="004C5F77" w:rsidP="00B20A12">
      <w:pPr>
        <w:jc w:val="both"/>
        <w:rPr>
          <w:rFonts w:ascii="Sylfaen" w:hAnsi="Sylfaen"/>
          <w:sz w:val="22"/>
          <w:szCs w:val="22"/>
        </w:rPr>
      </w:pPr>
    </w:p>
    <w:p w14:paraId="4F755E02" w14:textId="77777777" w:rsidR="00AE0332" w:rsidRDefault="00AE0332" w:rsidP="00B20A12">
      <w:pPr>
        <w:jc w:val="both"/>
        <w:rPr>
          <w:rFonts w:ascii="Sylfaen" w:hAnsi="Sylfaen"/>
          <w:sz w:val="16"/>
          <w:szCs w:val="16"/>
        </w:rPr>
      </w:pPr>
    </w:p>
    <w:p w14:paraId="1144C3E2" w14:textId="77777777" w:rsidR="00AE0332" w:rsidRDefault="00AE0332" w:rsidP="00B20A12">
      <w:pPr>
        <w:jc w:val="both"/>
        <w:rPr>
          <w:rFonts w:ascii="Sylfaen" w:hAnsi="Sylfaen"/>
          <w:sz w:val="16"/>
          <w:szCs w:val="16"/>
        </w:rPr>
      </w:pPr>
    </w:p>
    <w:p w14:paraId="32C75B9D" w14:textId="77777777" w:rsidR="00AE0332" w:rsidRDefault="00AE0332" w:rsidP="00B20A12">
      <w:pPr>
        <w:jc w:val="both"/>
        <w:rPr>
          <w:rFonts w:ascii="Sylfaen" w:hAnsi="Sylfaen"/>
          <w:sz w:val="16"/>
          <w:szCs w:val="16"/>
        </w:rPr>
      </w:pPr>
    </w:p>
    <w:p w14:paraId="4DE506DC" w14:textId="77777777" w:rsidR="00AE0332" w:rsidRDefault="00AE0332" w:rsidP="00B20A12">
      <w:pPr>
        <w:jc w:val="both"/>
        <w:rPr>
          <w:rFonts w:ascii="Sylfaen" w:hAnsi="Sylfaen"/>
          <w:sz w:val="16"/>
          <w:szCs w:val="16"/>
        </w:rPr>
      </w:pPr>
    </w:p>
    <w:p w14:paraId="7FCFB09D" w14:textId="77777777" w:rsidR="00AE0332" w:rsidRDefault="00AE0332" w:rsidP="00B20A12">
      <w:pPr>
        <w:jc w:val="both"/>
        <w:rPr>
          <w:rFonts w:ascii="Sylfaen" w:hAnsi="Sylfaen"/>
          <w:sz w:val="16"/>
          <w:szCs w:val="16"/>
        </w:rPr>
      </w:pPr>
    </w:p>
    <w:p w14:paraId="0CFCD9DF" w14:textId="6644FDF6" w:rsidR="00EF6175" w:rsidRPr="00B20A12" w:rsidRDefault="00B20A12" w:rsidP="00B20A12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 xml:space="preserve">Dnia </w:t>
      </w:r>
      <w:r w:rsidR="00CA4FA2">
        <w:rPr>
          <w:rFonts w:ascii="Sylfaen" w:hAnsi="Sylfaen"/>
          <w:sz w:val="16"/>
          <w:szCs w:val="16"/>
        </w:rPr>
        <w:t>2</w:t>
      </w:r>
      <w:r w:rsidR="00E20262">
        <w:rPr>
          <w:rFonts w:ascii="Sylfaen" w:hAnsi="Sylfaen"/>
          <w:sz w:val="16"/>
          <w:szCs w:val="16"/>
        </w:rPr>
        <w:t>2</w:t>
      </w:r>
      <w:r>
        <w:rPr>
          <w:rFonts w:ascii="Sylfaen" w:hAnsi="Sylfaen"/>
          <w:sz w:val="16"/>
          <w:szCs w:val="16"/>
        </w:rPr>
        <w:t>.09.2023</w:t>
      </w:r>
      <w:r w:rsidRPr="00266A24">
        <w:rPr>
          <w:rFonts w:ascii="Sylfaen" w:hAnsi="Sylfaen"/>
          <w:sz w:val="16"/>
          <w:szCs w:val="16"/>
        </w:rPr>
        <w:t xml:space="preserve"> r. </w:t>
      </w:r>
      <w:r>
        <w:rPr>
          <w:rFonts w:ascii="Sylfaen" w:hAnsi="Sylfaen"/>
          <w:sz w:val="16"/>
          <w:szCs w:val="16"/>
        </w:rPr>
        <w:t xml:space="preserve">odpowiedzi na pytania </w:t>
      </w:r>
      <w:r w:rsidRPr="00266A24">
        <w:rPr>
          <w:rFonts w:ascii="Sylfaen" w:hAnsi="Sylfaen"/>
          <w:sz w:val="16"/>
          <w:szCs w:val="16"/>
        </w:rPr>
        <w:t>zamieszczono na stronie prowadzonego postępowania.</w:t>
      </w:r>
    </w:p>
    <w:sectPr w:rsidR="00EF6175" w:rsidRPr="00B20A12" w:rsidSect="00AE0332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Pro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3B5"/>
    <w:multiLevelType w:val="hybridMultilevel"/>
    <w:tmpl w:val="20884CB2"/>
    <w:lvl w:ilvl="0" w:tplc="BEB48DBA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953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78D3D24"/>
    <w:multiLevelType w:val="hybridMultilevel"/>
    <w:tmpl w:val="F8E2A038"/>
    <w:lvl w:ilvl="0" w:tplc="341C6C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499731">
    <w:abstractNumId w:val="1"/>
  </w:num>
  <w:num w:numId="2" w16cid:durableId="1270355218">
    <w:abstractNumId w:val="2"/>
  </w:num>
  <w:num w:numId="3" w16cid:durableId="18475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75"/>
    <w:rsid w:val="00025C6F"/>
    <w:rsid w:val="000B48BC"/>
    <w:rsid w:val="00196811"/>
    <w:rsid w:val="001D4771"/>
    <w:rsid w:val="002003F7"/>
    <w:rsid w:val="002E4D3F"/>
    <w:rsid w:val="003259EB"/>
    <w:rsid w:val="004C5F77"/>
    <w:rsid w:val="004D458E"/>
    <w:rsid w:val="00553177"/>
    <w:rsid w:val="00855EE3"/>
    <w:rsid w:val="00A865CE"/>
    <w:rsid w:val="00AE0332"/>
    <w:rsid w:val="00B20A12"/>
    <w:rsid w:val="00C756CE"/>
    <w:rsid w:val="00CA4FA2"/>
    <w:rsid w:val="00D37189"/>
    <w:rsid w:val="00DC0D24"/>
    <w:rsid w:val="00E20262"/>
    <w:rsid w:val="00E76613"/>
    <w:rsid w:val="00EC3052"/>
    <w:rsid w:val="00E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8EFB"/>
  <w15:chartTrackingRefBased/>
  <w15:docId w15:val="{B5C2CD1A-F7AD-4C2D-846F-5345667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EF617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0A12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F6175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EF6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17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175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0A12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  <w14:ligatures w14:val="none"/>
    </w:rPr>
  </w:style>
  <w:style w:type="character" w:customStyle="1" w:styleId="Teksttreci2">
    <w:name w:val="Tekst treści (2)_"/>
    <w:link w:val="Teksttreci21"/>
    <w:locked/>
    <w:rsid w:val="00CA4FA2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A4FA2"/>
    <w:pPr>
      <w:shd w:val="clear" w:color="auto" w:fill="FFFFFF"/>
      <w:suppressAutoHyphens w:val="0"/>
      <w:spacing w:before="60" w:after="300" w:line="240" w:lineRule="atLeast"/>
      <w:ind w:hanging="720"/>
      <w:jc w:val="center"/>
    </w:pPr>
    <w:rPr>
      <w:rFonts w:ascii="Segoe UI" w:eastAsiaTheme="minorHAnsi" w:hAnsi="Segoe UI" w:cs="Segoe UI"/>
      <w:sz w:val="19"/>
      <w:szCs w:val="19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CA4FA2"/>
    <w:pPr>
      <w:ind w:left="720"/>
      <w:contextualSpacing/>
    </w:pPr>
    <w:rPr>
      <w:szCs w:val="21"/>
    </w:rPr>
  </w:style>
  <w:style w:type="paragraph" w:customStyle="1" w:styleId="TableParagraph">
    <w:name w:val="Table Paragraph"/>
    <w:basedOn w:val="Normalny"/>
    <w:uiPriority w:val="1"/>
    <w:qFormat/>
    <w:rsid w:val="00EC3052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2202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5</cp:revision>
  <cp:lastPrinted>2023-09-22T14:42:00Z</cp:lastPrinted>
  <dcterms:created xsi:type="dcterms:W3CDTF">2023-09-22T14:42:00Z</dcterms:created>
  <dcterms:modified xsi:type="dcterms:W3CDTF">2023-09-22T15:55:00Z</dcterms:modified>
</cp:coreProperties>
</file>