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663" w14:textId="3097F446" w:rsidR="001379EB" w:rsidRDefault="001379EB" w:rsidP="00307AFA">
      <w:pPr>
        <w:ind w:left="5664" w:firstLine="708"/>
        <w:rPr>
          <w:rFonts w:ascii="Sylfaen" w:hAnsi="Sylfaen"/>
        </w:rPr>
      </w:pPr>
      <w:r w:rsidRPr="000B2CEF">
        <w:rPr>
          <w:rFonts w:ascii="Sylfaen" w:hAnsi="Sylfaen"/>
        </w:rPr>
        <w:t xml:space="preserve">Toruń, </w:t>
      </w:r>
      <w:r>
        <w:rPr>
          <w:rFonts w:ascii="Sylfaen" w:hAnsi="Sylfaen"/>
        </w:rPr>
        <w:t xml:space="preserve">dnia </w:t>
      </w:r>
      <w:r w:rsidR="00ED5E45">
        <w:rPr>
          <w:rFonts w:ascii="Sylfaen" w:hAnsi="Sylfaen"/>
        </w:rPr>
        <w:t>2</w:t>
      </w:r>
      <w:r w:rsidR="00661D29">
        <w:rPr>
          <w:rFonts w:ascii="Sylfaen" w:hAnsi="Sylfaen"/>
        </w:rPr>
        <w:t>1</w:t>
      </w:r>
      <w:r>
        <w:rPr>
          <w:rFonts w:ascii="Sylfaen" w:hAnsi="Sylfaen"/>
        </w:rPr>
        <w:t>.11.2023 r.</w:t>
      </w:r>
    </w:p>
    <w:p w14:paraId="43C36B67" w14:textId="77777777" w:rsidR="001379EB" w:rsidRPr="000B2CEF" w:rsidRDefault="001379EB" w:rsidP="001379EB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79600F71" w14:textId="77777777" w:rsidR="001379EB" w:rsidRPr="009D0455" w:rsidRDefault="001379EB" w:rsidP="001379EB">
      <w:pPr>
        <w:rPr>
          <w:rFonts w:ascii="Sylfaen" w:hAnsi="Sylfaen"/>
          <w:b/>
          <w:bCs/>
        </w:rPr>
      </w:pPr>
      <w:r w:rsidRPr="00B5559D">
        <w:rPr>
          <w:rFonts w:ascii="Sylfaen" w:hAnsi="Sylfaen"/>
          <w:b/>
          <w:bCs/>
        </w:rPr>
        <w:t>L.dz. SSM.DZP.200.186.2023</w:t>
      </w:r>
    </w:p>
    <w:p w14:paraId="753D4DF2" w14:textId="77777777" w:rsidR="001379EB" w:rsidRPr="00A446B6" w:rsidRDefault="001379EB" w:rsidP="001379EB">
      <w:pPr>
        <w:spacing w:after="0" w:line="240" w:lineRule="auto"/>
        <w:rPr>
          <w:rFonts w:ascii="Sylfaen" w:hAnsi="Sylfaen"/>
        </w:rPr>
      </w:pPr>
      <w:r w:rsidRPr="00A446B6">
        <w:rPr>
          <w:rFonts w:ascii="Sylfaen" w:hAnsi="Sylfaen"/>
        </w:rPr>
        <w:t>dotyczy: postępowania o udzielenie zamówienia publiczne w trybie podstawowym na „Dostawę zestawu do podawania żywienia pozajelitowego, bezigłowych przyrządów do przygotowywania</w:t>
      </w:r>
    </w:p>
    <w:p w14:paraId="4BE42C55" w14:textId="77777777" w:rsidR="001379EB" w:rsidRPr="00A446B6" w:rsidRDefault="001379EB" w:rsidP="001379EB">
      <w:pPr>
        <w:spacing w:after="0" w:line="240" w:lineRule="auto"/>
        <w:rPr>
          <w:rFonts w:ascii="Sylfaen" w:hAnsi="Sylfaen"/>
        </w:rPr>
      </w:pPr>
      <w:r w:rsidRPr="00A446B6">
        <w:rPr>
          <w:rFonts w:ascii="Sylfaen" w:hAnsi="Sylfaen"/>
        </w:rPr>
        <w:t xml:space="preserve"> i pobierania leków, sterylnego fartucha chirurgicznego”.</w:t>
      </w:r>
    </w:p>
    <w:p w14:paraId="0B85969E" w14:textId="77777777" w:rsidR="001379EB" w:rsidRPr="00A446B6" w:rsidRDefault="001379EB" w:rsidP="001379EB">
      <w:pPr>
        <w:jc w:val="both"/>
        <w:rPr>
          <w:rFonts w:ascii="Sylfaen" w:hAnsi="Sylfaen"/>
        </w:rPr>
      </w:pPr>
    </w:p>
    <w:p w14:paraId="749C19A7" w14:textId="43ECDF2B" w:rsidR="001379EB" w:rsidRPr="00A446B6" w:rsidRDefault="001379EB" w:rsidP="00F33392">
      <w:pPr>
        <w:ind w:firstLine="284"/>
        <w:jc w:val="both"/>
        <w:rPr>
          <w:rFonts w:ascii="Sylfaen" w:hAnsi="Sylfaen"/>
        </w:rPr>
      </w:pPr>
      <w:r w:rsidRPr="00846536">
        <w:rPr>
          <w:rFonts w:ascii="Sylfaen" w:hAnsi="Sylfaen"/>
        </w:rPr>
        <w:t xml:space="preserve">W związku ze skierowanymi zapytaniami o wyjaśnienie treści SWZ </w:t>
      </w:r>
      <w:r w:rsidRPr="00A446B6">
        <w:rPr>
          <w:rFonts w:ascii="Sylfaen" w:hAnsi="Sylfaen"/>
        </w:rPr>
        <w:t>Specjalistyczny Szpital Miejski im. M. Kopernika w Toruniu</w:t>
      </w:r>
      <w:r>
        <w:rPr>
          <w:rFonts w:ascii="Sylfaen" w:hAnsi="Sylfaen"/>
        </w:rPr>
        <w:t xml:space="preserve"> udziela, zgodnie z art. 284 ustawy Prawo zamówień publicznych, następujących wyjaśnień:</w:t>
      </w:r>
    </w:p>
    <w:p w14:paraId="3A400BFA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>Pakiet 2. Poz. 1.</w:t>
      </w:r>
    </w:p>
    <w:p w14:paraId="46183E93" w14:textId="3302174C" w:rsidR="00ED5E45" w:rsidRDefault="00ED5E45" w:rsidP="00F333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 Prosimy Zamawiającego o dopuszczenie bezigłowego przyrządu do przygotowywania </w:t>
      </w:r>
      <w:r w:rsidR="00F33392">
        <w:rPr>
          <w:rFonts w:ascii="Sylfaen" w:eastAsia="Times New Roman" w:hAnsi="Sylfaen" w:cs="Times New Roman"/>
          <w:kern w:val="0"/>
          <w:lang w:eastAsia="pl-PL"/>
          <w14:ligatures w14:val="none"/>
        </w:rPr>
        <w:br/>
      </w:r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i pobierania leków z zaworem bezigłowym z </w:t>
      </w:r>
      <w:proofErr w:type="spellStart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dezynfekowalną</w:t>
      </w:r>
      <w:proofErr w:type="spellEnd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 membraną, pełniącym funkcję zamknięcia osłaniającego końcówkę </w:t>
      </w:r>
      <w:proofErr w:type="spellStart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luer</w:t>
      </w:r>
      <w:proofErr w:type="spellEnd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 lock i zastawki </w:t>
      </w:r>
      <w:proofErr w:type="spellStart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antyzwrotnej</w:t>
      </w:r>
      <w:proofErr w:type="spellEnd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. Pozostałe parametry zgodnie z SWZ</w:t>
      </w:r>
    </w:p>
    <w:p w14:paraId="5C96FC0C" w14:textId="77777777" w:rsid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49F06838" w14:textId="30F8597B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Odpowiedź:</w:t>
      </w:r>
    </w:p>
    <w:p w14:paraId="4B9689BC" w14:textId="5D2E4EEB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Zgodnie z SWZ.</w:t>
      </w:r>
    </w:p>
    <w:p w14:paraId="2B25758E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</w:p>
    <w:p w14:paraId="571B8E7E" w14:textId="77777777" w:rsidR="00ED5E45" w:rsidRPr="00ED5E45" w:rsidRDefault="00ED5E45" w:rsidP="00F333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Prosimy Zamawiającego o wyjaśnienie czy kolec mikro oznacza kolec wzdłużnie ścięty do połowy swojej długości, posiadający rynienkę, która umożliwia maksymalne pobranie leku z fiolki, bez strat. Kolec z dwoma przeciwlegle umieszczonymi otworami, jednym na szczycie kolca, drugim w połowie jego długości.  </w:t>
      </w:r>
    </w:p>
    <w:p w14:paraId="31EDB7DC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</w:p>
    <w:p w14:paraId="105FB713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Odpowiedź:</w:t>
      </w:r>
    </w:p>
    <w:p w14:paraId="02DCDA4D" w14:textId="42FF07E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Zgodnie z SWZ.</w:t>
      </w:r>
    </w:p>
    <w:p w14:paraId="573663AB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Times New Roman" w:hAnsi="Sylfaen" w:cs="Times New Roman"/>
          <w:color w:val="000000"/>
          <w:kern w:val="0"/>
          <w14:ligatures w14:val="none"/>
        </w:rPr>
      </w:pPr>
    </w:p>
    <w:p w14:paraId="5C9A868A" w14:textId="77777777" w:rsidR="00ED5E45" w:rsidRPr="00ED5E45" w:rsidRDefault="00ED5E45" w:rsidP="00F333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Prosimy Zamawiającego o wyjaśnienie czy przyrząd ma posiadać filtr wbudowany na całej długości części chwytnej przyrządu, nie wystający poza przekrój poprzeczny i podłużny korpusu przyrządu, co umożliwia ergonomiczną pracę z przyrządem?</w:t>
      </w:r>
    </w:p>
    <w:p w14:paraId="7589652D" w14:textId="77777777" w:rsidR="00ED5E45" w:rsidRPr="00ED5E45" w:rsidRDefault="00ED5E45" w:rsidP="00F33392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</w:p>
    <w:p w14:paraId="1EB4CD2A" w14:textId="77777777" w:rsidR="00ED5E45" w:rsidRPr="00ED5E45" w:rsidRDefault="00ED5E45" w:rsidP="00F33392">
      <w:pPr>
        <w:spacing w:after="0" w:line="240" w:lineRule="auto"/>
        <w:ind w:left="708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Odpowiedź:</w:t>
      </w:r>
    </w:p>
    <w:p w14:paraId="730A44EF" w14:textId="192F8633" w:rsidR="00ED5E45" w:rsidRPr="00ED5E45" w:rsidRDefault="00ED5E45" w:rsidP="00F33392">
      <w:pPr>
        <w:spacing w:after="0" w:line="240" w:lineRule="auto"/>
        <w:ind w:left="708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Zgodnie z SWZ.</w:t>
      </w:r>
    </w:p>
    <w:p w14:paraId="2F2839CB" w14:textId="77777777" w:rsidR="00ED5E45" w:rsidRPr="00ED5E45" w:rsidRDefault="00ED5E45" w:rsidP="00F33392">
      <w:pPr>
        <w:spacing w:after="200" w:line="276" w:lineRule="auto"/>
        <w:jc w:val="both"/>
        <w:rPr>
          <w:rFonts w:ascii="Sylfaen" w:eastAsia="Times New Roman" w:hAnsi="Sylfaen" w:cs="Times New Roman"/>
          <w:kern w:val="0"/>
          <w14:ligatures w14:val="none"/>
        </w:rPr>
      </w:pPr>
    </w:p>
    <w:p w14:paraId="353DFC89" w14:textId="77777777" w:rsidR="00ED5E45" w:rsidRPr="00ED5E45" w:rsidRDefault="00ED5E45" w:rsidP="00F33392">
      <w:pPr>
        <w:spacing w:after="200" w:line="276" w:lineRule="auto"/>
        <w:jc w:val="both"/>
        <w:rPr>
          <w:rFonts w:ascii="Sylfaen" w:eastAsia="Times New Roman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14:ligatures w14:val="none"/>
        </w:rPr>
        <w:t>Pakiet 2. Poz. 2.</w:t>
      </w:r>
    </w:p>
    <w:p w14:paraId="260DDACE" w14:textId="72448590" w:rsidR="00ED5E45" w:rsidRDefault="00ED5E45" w:rsidP="00F333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Prosimy Zamawiającego o dopuszczenie bezigłowego przyrządu do przygotowywania </w:t>
      </w:r>
      <w:r w:rsidR="00F33392">
        <w:rPr>
          <w:rFonts w:ascii="Sylfaen" w:eastAsia="Times New Roman" w:hAnsi="Sylfaen" w:cs="Times New Roman"/>
          <w:kern w:val="0"/>
          <w:lang w:eastAsia="pl-PL"/>
          <w14:ligatures w14:val="none"/>
        </w:rPr>
        <w:br/>
      </w:r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i pobierania leków z zaworem bezigłowym z </w:t>
      </w:r>
      <w:proofErr w:type="spellStart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dezynfekowalną</w:t>
      </w:r>
      <w:proofErr w:type="spellEnd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 membraną, pełniącym funkcję zamknięcia osłaniającego końcówkę </w:t>
      </w:r>
      <w:proofErr w:type="spellStart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luer</w:t>
      </w:r>
      <w:proofErr w:type="spellEnd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 xml:space="preserve"> lock i zastawki </w:t>
      </w:r>
      <w:proofErr w:type="spellStart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antyzwrotnej</w:t>
      </w:r>
      <w:proofErr w:type="spellEnd"/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t>. Pozostałe parametry zgodnie z SWZ.</w:t>
      </w:r>
    </w:p>
    <w:p w14:paraId="520C1B69" w14:textId="77777777" w:rsid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13F24A03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Odpowiedź:</w:t>
      </w:r>
    </w:p>
    <w:p w14:paraId="31DB37F7" w14:textId="510E190D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Zgodnie z SWZ.</w:t>
      </w:r>
    </w:p>
    <w:p w14:paraId="53DE53AB" w14:textId="7E1DC7C9" w:rsidR="00ED5E45" w:rsidRDefault="00ED5E45" w:rsidP="00F333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kern w:val="0"/>
          <w:lang w:eastAsia="pl-PL"/>
          <w14:ligatures w14:val="none"/>
        </w:rPr>
        <w:lastRenderedPageBreak/>
        <w:t>Prosimy Zamawiającego o wyjaśnienie czy przyrząd ma posiadać filtr wbudowany na całej długości części chwytnej przyrządu, nie wystający poza przekrój poprzeczny i podłużny korpusu przyrządu, co umożliwia ergonomiczną pracę z przyrządem?</w:t>
      </w:r>
    </w:p>
    <w:p w14:paraId="57222702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p w14:paraId="4719710B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Odpowiedź:</w:t>
      </w:r>
    </w:p>
    <w:p w14:paraId="1714B942" w14:textId="36129647" w:rsid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Zgodnie z SWZ.</w:t>
      </w:r>
    </w:p>
    <w:p w14:paraId="1C039B08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</w:p>
    <w:p w14:paraId="338A75CE" w14:textId="77777777" w:rsidR="00ED5E45" w:rsidRDefault="00ED5E45" w:rsidP="00F333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>Prosimy Zamawiającego o doprecyzowanie czy zastawka powinna posiadać płaską powierzchnię pozwalającą na łatwą i skuteczną dezynfekcję, uniemożliwiająca cofanie się zawartości fiolki po odkręceniu strzykawki od złącza, nawet w przypadku powstania nadciśnienia w fiolce?</w:t>
      </w:r>
    </w:p>
    <w:p w14:paraId="4EC608CC" w14:textId="77777777" w:rsidR="00ED5E45" w:rsidRPr="00ED5E45" w:rsidRDefault="00ED5E45" w:rsidP="00F33392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</w:p>
    <w:p w14:paraId="718E62B7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Odpowiedź:</w:t>
      </w:r>
    </w:p>
    <w:p w14:paraId="7E6E0C99" w14:textId="77777777" w:rsidR="00ED5E45" w:rsidRPr="00ED5E45" w:rsidRDefault="00ED5E45" w:rsidP="00F33392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</w:pPr>
      <w:r w:rsidRPr="00ED5E45">
        <w:rPr>
          <w:rFonts w:ascii="Sylfaen" w:eastAsia="Times New Roman" w:hAnsi="Sylfaen" w:cs="Times New Roman"/>
          <w:b/>
          <w:bCs/>
          <w:kern w:val="0"/>
          <w:lang w:eastAsia="pl-PL"/>
          <w14:ligatures w14:val="none"/>
        </w:rPr>
        <w:t>Zgodnie z SWZ.</w:t>
      </w:r>
    </w:p>
    <w:p w14:paraId="61D61CE7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  <w:color w:val="000000"/>
          <w:kern w:val="0"/>
          <w14:ligatures w14:val="none"/>
        </w:rPr>
      </w:pPr>
    </w:p>
    <w:p w14:paraId="6E1FA52E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Pakiet 2. Poz. 3.</w:t>
      </w:r>
    </w:p>
    <w:p w14:paraId="555BCAB9" w14:textId="6EDA6B98" w:rsid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kern w:val="0"/>
          <w14:ligatures w14:val="none"/>
        </w:rPr>
      </w:pPr>
      <w:r w:rsidRPr="00ED5E45">
        <w:rPr>
          <w:rFonts w:ascii="Sylfaen" w:eastAsia="Calibri" w:hAnsi="Sylfaen" w:cs="Times New Roman"/>
          <w:kern w:val="0"/>
          <w14:ligatures w14:val="none"/>
        </w:rPr>
        <w:t>Prosimy Zamawiającego o doprecyzowanie czy łącznik ma umożliwiać przepływ min. 200 ml/min, co umożliwia ergonomiczne pobieranie leków z pojemników zbiorczych?</w:t>
      </w:r>
    </w:p>
    <w:p w14:paraId="657C967B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kern w:val="0"/>
          <w14:ligatures w14:val="none"/>
        </w:rPr>
      </w:pPr>
    </w:p>
    <w:p w14:paraId="689B6B3D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Odpowiedź:</w:t>
      </w:r>
    </w:p>
    <w:p w14:paraId="7E0B1C71" w14:textId="2D6DF846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Zgodnie z SWZ.</w:t>
      </w:r>
    </w:p>
    <w:p w14:paraId="4F8A3631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</w:p>
    <w:p w14:paraId="044DD21E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Pakiet 2. Poz. 4.</w:t>
      </w:r>
    </w:p>
    <w:p w14:paraId="388273FC" w14:textId="77777777" w:rsid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kern w:val="0"/>
          <w14:ligatures w14:val="none"/>
        </w:rPr>
      </w:pPr>
      <w:r w:rsidRPr="00ED5E45">
        <w:rPr>
          <w:rFonts w:ascii="Sylfaen" w:eastAsia="Calibri" w:hAnsi="Sylfaen" w:cs="Times New Roman"/>
          <w:kern w:val="0"/>
          <w14:ligatures w14:val="none"/>
        </w:rPr>
        <w:t xml:space="preserve">Pozycja wymagana przez Zamawiającego tj. osłonka jest pakowana razem z przyrządem w pozycji 3, w związku z tym prosimy Zamawiającego o możliwość nie wyszczególnienia tej pozycji w trakcie przygotowania oferty cenowej. Jest to korzystne dla Zamawiającego z przyczyn ekonomicznych.  </w:t>
      </w:r>
    </w:p>
    <w:p w14:paraId="784F6853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kern w:val="0"/>
          <w14:ligatures w14:val="none"/>
        </w:rPr>
      </w:pPr>
    </w:p>
    <w:p w14:paraId="187FAB20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Odpowiedź:</w:t>
      </w:r>
    </w:p>
    <w:p w14:paraId="7FA84F07" w14:textId="74D4BA45" w:rsid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Zgodnie z SWZ.</w:t>
      </w:r>
    </w:p>
    <w:p w14:paraId="300B19D7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</w:p>
    <w:p w14:paraId="76ECC07E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Pakiet 2. Poz. 12</w:t>
      </w:r>
    </w:p>
    <w:p w14:paraId="73A192D6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Calibri"/>
          <w:kern w:val="0"/>
          <w14:ligatures w14:val="none"/>
        </w:rPr>
      </w:pPr>
      <w:r w:rsidRPr="00ED5E45">
        <w:rPr>
          <w:rFonts w:ascii="Sylfaen" w:eastAsia="Calibri" w:hAnsi="Sylfaen" w:cs="Calibri"/>
          <w:kern w:val="0"/>
          <w14:ligatures w14:val="none"/>
        </w:rPr>
        <w:t>Prosimy Zamawiającego o dopuszczenie Bezigłowego systemu do grawitacyjnego podawania leków cytotoksycznych, posiadający filtr uniemożliwiający wyciek płynu podczas napełniania drenu. Bez PCV i DEHP. Posiadający 3 zawory bezigłowe.  Kolor bursztynowy przezierny, system o poniższych parametrach:</w:t>
      </w:r>
    </w:p>
    <w:p w14:paraId="188B1FB2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Linia infuzyjna bursztynowa, matowa, z wyczuwalną teksturą antypoślizgową, ułatwiającą uchwyt o długości 181 cm do podawania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cytostatyków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z 2 bocznymi portami bezigłowymi do podłączenia pojemnika z lekiem, ułożonymi naprzemiennie jeden pod drugim. Porty dostępu w postaci zaworów bezigłowych z płaską powierzchnią do dezynfekcji, nie wymagające dodatkowego koreczka.  Linia odpowiednia do podaży z worków i butelek, w linii zacisk zatrzaskowy, zacisk rolkowy z miejscem na podwieszenie drenu, w dystalnej części dodatkowy zawór do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dostrzyknięć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, nad zaworem zastawka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antyzwrotna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uniemożliwiająca cofanie się leku w górę drenu. Skrzydełka dociskowe przy </w:t>
      </w:r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lastRenderedPageBreak/>
        <w:t xml:space="preserve">kolcu min.7mm, ułatwiające  wbicie  do pojemnika. Dren z poliuretanu.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Objętośc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wypełnienia 11,6 ml. Przyrząd nie zawiera DEHP. Sterylizacja radiacyjna.</w:t>
      </w:r>
    </w:p>
    <w:p w14:paraId="2C4B9E32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</w:p>
    <w:p w14:paraId="57CF1F72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Odpowiedź:</w:t>
      </w:r>
    </w:p>
    <w:p w14:paraId="6C00B648" w14:textId="3FF62A29" w:rsid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Zgodnie z SWZ.</w:t>
      </w:r>
    </w:p>
    <w:p w14:paraId="0F0652B8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</w:p>
    <w:p w14:paraId="725DEB5A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Times New Roman"/>
          <w:b/>
          <w:bCs/>
          <w:kern w:val="0"/>
          <w14:ligatures w14:val="none"/>
        </w:rPr>
      </w:pPr>
      <w:r w:rsidRPr="00ED5E45">
        <w:rPr>
          <w:rFonts w:ascii="Sylfaen" w:eastAsia="Calibri" w:hAnsi="Sylfaen" w:cs="Times New Roman"/>
          <w:b/>
          <w:bCs/>
          <w:kern w:val="0"/>
          <w14:ligatures w14:val="none"/>
        </w:rPr>
        <w:t>Pakiet 2. Poz. 13 i 14.</w:t>
      </w:r>
    </w:p>
    <w:p w14:paraId="181ADE00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Calibri"/>
          <w:kern w:val="0"/>
          <w14:ligatures w14:val="none"/>
        </w:rPr>
      </w:pPr>
      <w:r w:rsidRPr="00ED5E45">
        <w:rPr>
          <w:rFonts w:ascii="Sylfaen" w:eastAsia="Calibri" w:hAnsi="Sylfaen" w:cs="Calibri"/>
          <w:kern w:val="0"/>
          <w14:ligatures w14:val="none"/>
        </w:rPr>
        <w:t>Bezigłowy system do grawitacyjnego podawania leków cytotoksycznych, posiadający filtr uniemożliwiający wyciek płynu podczas napełniania drenu. Bez PCV i DEHP. Posiadający 5 zaworów bezigłowych. Kolor bursztynowy przezierny, system o poniższych parametrach:</w:t>
      </w:r>
    </w:p>
    <w:p w14:paraId="59C354AE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Times New Roman"/>
          <w:kern w:val="0"/>
          <w14:ligatures w14:val="none"/>
        </w:rPr>
      </w:pPr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Linia infuzyjna bursztynowa, matowa, z wyczuwalną teksturą antypoślizgową, ułatwiającą uchwyt, do podawania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cytostatyków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z 5 portami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dostepowymi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ułożonymi naprzemiennie jeden pod drugim, o długości maksymalnie 190 cm. Porty dostępu w postaci zaworów bezigłowych z płaską powierzchnią do dezynfekcji, nie wymagające dodatkowego koreczka. Linia odpowiednia do podaży z worków i butelek, w linii zacisk zatrzaskowy, zacisk rolkowy z miejscem na podwieszenie drenu, w dystalnej części dodatkowy zawór do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dostrzyknięć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, nad zaworem zastawka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antyzwrotna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uniemożliwiająca cofanie się leku w górę drenu. Koniec dystalny zakończony zatyczką z filtrem hydrofobowym. Skrzydełka dociskowe przy kolcu min.7mm, ułatwiające  wbicie  do pojemnika. Dren z poliuretanu. Przyrząd nie zawiera DEHP.  Sterylizacja radiacyjna.</w:t>
      </w:r>
    </w:p>
    <w:p w14:paraId="35947745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Calibri"/>
          <w:b/>
          <w:bCs/>
          <w:kern w:val="0"/>
          <w14:ligatures w14:val="none"/>
        </w:rPr>
      </w:pPr>
    </w:p>
    <w:p w14:paraId="11EE88C5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Calibri"/>
          <w:b/>
          <w:bCs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kern w:val="0"/>
          <w14:ligatures w14:val="none"/>
        </w:rPr>
        <w:t>Odpowiedź:</w:t>
      </w:r>
    </w:p>
    <w:p w14:paraId="1BB066AA" w14:textId="07019FB2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Calibri"/>
          <w:b/>
          <w:bCs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kern w:val="0"/>
          <w14:ligatures w14:val="none"/>
        </w:rPr>
        <w:t>Zgodnie z SWZ.</w:t>
      </w:r>
    </w:p>
    <w:p w14:paraId="2742AB7B" w14:textId="77777777" w:rsidR="00ED5E45" w:rsidRPr="00ED5E45" w:rsidRDefault="00ED5E45" w:rsidP="00F33392">
      <w:pPr>
        <w:spacing w:after="200" w:line="276" w:lineRule="auto"/>
        <w:contextualSpacing/>
        <w:jc w:val="both"/>
        <w:rPr>
          <w:rFonts w:ascii="Sylfaen" w:eastAsia="Calibri" w:hAnsi="Sylfaen" w:cs="Calibri"/>
          <w:kern w:val="0"/>
          <w14:ligatures w14:val="none"/>
        </w:rPr>
      </w:pPr>
    </w:p>
    <w:p w14:paraId="595F3E01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kern w:val="0"/>
          <w14:ligatures w14:val="none"/>
        </w:rPr>
        <w:t>Pakiet 2. Poz. 12-14</w:t>
      </w: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 xml:space="preserve"> </w:t>
      </w:r>
    </w:p>
    <w:p w14:paraId="35DA99AF" w14:textId="49C4E60A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Prosimy Zamawiającego o wyjaśnienie czy zestawy infuzyjne mają być wyposażone </w:t>
      </w:r>
      <w:r w:rsidR="00F33392">
        <w:rPr>
          <w:rFonts w:ascii="Sylfaen" w:eastAsia="Calibri" w:hAnsi="Sylfaen" w:cs="Calibri"/>
          <w:color w:val="000000"/>
          <w:kern w:val="0"/>
          <w14:ligatures w14:val="none"/>
        </w:rPr>
        <w:br/>
      </w:r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w automatyczne zabezpieczenie przeciwko mieszaniu się leków w trakcie podaży leków w bolusie, zwłaszcza leków forsownych.</w:t>
      </w:r>
    </w:p>
    <w:p w14:paraId="1E46A8F1" w14:textId="77777777" w:rsid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</w:p>
    <w:p w14:paraId="332D0C34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>Odpowiedź:</w:t>
      </w:r>
    </w:p>
    <w:p w14:paraId="3805110A" w14:textId="623A05D3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>Zgodnie z SWZ.</w:t>
      </w:r>
    </w:p>
    <w:p w14:paraId="45224F43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</w:p>
    <w:p w14:paraId="17CBDB47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>Pakiet 2. Poz. 15.</w:t>
      </w:r>
    </w:p>
    <w:p w14:paraId="02A7EF57" w14:textId="77777777" w:rsid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Prosimy Zamawiającego o dopuszczenie zestawu infuzyjnego - Filtr o powierzchni 4,5cm2, membrana 0,2um wykonana z PES (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polieterosulfon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). Czas stosowania 96h, brak drenów przed i za filtrem, na końcach męski i żeński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luer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 xml:space="preserve"> lock, objętość wypełnienia 0,75 ml, przepływ &gt;10ml/min. Kolor obudowy transparentny. Bez DEHP, sterylny, pakowany pojedynczo. Sterylizowany tlenkiem etylenu. Membrana z </w:t>
      </w:r>
      <w:proofErr w:type="spellStart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polietersulfonu</w:t>
      </w:r>
      <w:proofErr w:type="spellEnd"/>
      <w:r w:rsidRPr="00ED5E45">
        <w:rPr>
          <w:rFonts w:ascii="Sylfaen" w:eastAsia="Calibri" w:hAnsi="Sylfaen" w:cs="Calibri"/>
          <w:color w:val="000000"/>
          <w:kern w:val="0"/>
          <w14:ligatures w14:val="none"/>
        </w:rPr>
        <w:t>.</w:t>
      </w:r>
    </w:p>
    <w:p w14:paraId="7684E074" w14:textId="77777777" w:rsid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</w:p>
    <w:p w14:paraId="5D3F00FC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>Odpowiedź:</w:t>
      </w:r>
    </w:p>
    <w:p w14:paraId="1701EF81" w14:textId="5515A9D3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t>Zgodnie z SWZ.</w:t>
      </w:r>
    </w:p>
    <w:p w14:paraId="7F958716" w14:textId="77777777" w:rsid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</w:p>
    <w:p w14:paraId="3B7848ED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color w:val="000000"/>
          <w:kern w:val="0"/>
          <w14:ligatures w14:val="none"/>
        </w:rPr>
      </w:pPr>
    </w:p>
    <w:p w14:paraId="266C56D3" w14:textId="77777777" w:rsidR="00ED5E45" w:rsidRPr="00ED5E45" w:rsidRDefault="00ED5E45" w:rsidP="00F33392">
      <w:pPr>
        <w:spacing w:after="0" w:line="276" w:lineRule="auto"/>
        <w:jc w:val="both"/>
        <w:rPr>
          <w:rFonts w:ascii="Sylfaen" w:eastAsia="Calibri" w:hAnsi="Sylfaen" w:cs="Calibri"/>
          <w:b/>
          <w:bCs/>
          <w:color w:val="000000"/>
          <w:kern w:val="0"/>
          <w14:ligatures w14:val="none"/>
        </w:rPr>
      </w:pPr>
      <w:r w:rsidRPr="00ED5E45">
        <w:rPr>
          <w:rFonts w:ascii="Sylfaen" w:eastAsia="Calibri" w:hAnsi="Sylfaen" w:cs="Calibri"/>
          <w:b/>
          <w:bCs/>
          <w:color w:val="000000"/>
          <w:kern w:val="0"/>
          <w14:ligatures w14:val="none"/>
        </w:rPr>
        <w:lastRenderedPageBreak/>
        <w:t>Pakiet 2. Poz. 16.</w:t>
      </w:r>
    </w:p>
    <w:p w14:paraId="254BA290" w14:textId="744DDA7D" w:rsidR="00ED5E45" w:rsidRPr="00ED5E45" w:rsidRDefault="00ED5E45" w:rsidP="00F33392">
      <w:pPr>
        <w:spacing w:after="200" w:line="276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ED5E45">
        <w:rPr>
          <w:rFonts w:ascii="Sylfaen" w:eastAsia="Calibri" w:hAnsi="Sylfaen" w:cs="Times New Roman"/>
          <w:kern w:val="0"/>
          <w14:ligatures w14:val="none"/>
        </w:rPr>
        <w:t xml:space="preserve">Prosimy Zamawiającego o dopuszczenie bezigłowego przyrządu do pobierania i aspiracji leków </w:t>
      </w:r>
      <w:r w:rsidR="00F33392">
        <w:rPr>
          <w:rFonts w:ascii="Sylfaen" w:eastAsia="Calibri" w:hAnsi="Sylfaen" w:cs="Times New Roman"/>
          <w:kern w:val="0"/>
          <w14:ligatures w14:val="none"/>
        </w:rPr>
        <w:br/>
      </w:r>
      <w:r w:rsidRPr="00ED5E45">
        <w:rPr>
          <w:rFonts w:ascii="Sylfaen" w:eastAsia="Calibri" w:hAnsi="Sylfaen" w:cs="Times New Roman"/>
          <w:kern w:val="0"/>
          <w14:ligatures w14:val="none"/>
        </w:rPr>
        <w:t>z filtrem bakteryjnym 2µm, filtrem cząsteczkowym 5µm, kompatybilny z wszystkimi butelkami</w:t>
      </w:r>
      <w:r w:rsidR="00F33392">
        <w:rPr>
          <w:rFonts w:ascii="Sylfaen" w:eastAsia="Calibri" w:hAnsi="Sylfaen" w:cs="Times New Roman"/>
          <w:kern w:val="0"/>
          <w14:ligatures w14:val="none"/>
        </w:rPr>
        <w:br/>
      </w:r>
      <w:r w:rsidRPr="00ED5E45">
        <w:rPr>
          <w:rFonts w:ascii="Sylfaen" w:eastAsia="Calibri" w:hAnsi="Sylfaen" w:cs="Times New Roman"/>
          <w:kern w:val="0"/>
          <w14:ligatures w14:val="none"/>
        </w:rPr>
        <w:t xml:space="preserve"> z płynami infuzyjnymi.</w:t>
      </w:r>
    </w:p>
    <w:p w14:paraId="11F4885C" w14:textId="77777777" w:rsidR="00ED5E45" w:rsidRPr="00ED5E45" w:rsidRDefault="00ED5E45" w:rsidP="00F33392">
      <w:pPr>
        <w:spacing w:after="0" w:line="240" w:lineRule="auto"/>
        <w:jc w:val="both"/>
        <w:rPr>
          <w:rFonts w:ascii="Sylfaen" w:hAnsi="Sylfaen"/>
          <w:b/>
          <w:bCs/>
        </w:rPr>
      </w:pPr>
      <w:r w:rsidRPr="00ED5E45">
        <w:rPr>
          <w:rFonts w:ascii="Sylfaen" w:hAnsi="Sylfaen"/>
          <w:b/>
          <w:bCs/>
        </w:rPr>
        <w:t>Odpowiedź:</w:t>
      </w:r>
    </w:p>
    <w:p w14:paraId="5EB5C516" w14:textId="6D1FE0C6" w:rsidR="001379EB" w:rsidRPr="00ED5E45" w:rsidRDefault="00ED5E45" w:rsidP="00F33392">
      <w:pPr>
        <w:spacing w:after="0" w:line="240" w:lineRule="auto"/>
        <w:jc w:val="both"/>
        <w:rPr>
          <w:rFonts w:ascii="Sylfaen" w:hAnsi="Sylfaen"/>
          <w:b/>
          <w:bCs/>
        </w:rPr>
      </w:pPr>
      <w:r w:rsidRPr="00ED5E45">
        <w:rPr>
          <w:rFonts w:ascii="Sylfaen" w:hAnsi="Sylfaen"/>
          <w:b/>
          <w:bCs/>
        </w:rPr>
        <w:t>Zgodnie z SWZ.</w:t>
      </w:r>
    </w:p>
    <w:sectPr w:rsidR="001379EB" w:rsidRPr="00ED5E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6EB0" w14:textId="77777777" w:rsidR="005968A5" w:rsidRDefault="005968A5" w:rsidP="00CD2FBF">
      <w:pPr>
        <w:spacing w:after="0" w:line="240" w:lineRule="auto"/>
      </w:pPr>
      <w:r>
        <w:separator/>
      </w:r>
    </w:p>
  </w:endnote>
  <w:endnote w:type="continuationSeparator" w:id="0">
    <w:p w14:paraId="3EEA0098" w14:textId="77777777" w:rsidR="005968A5" w:rsidRDefault="005968A5" w:rsidP="00C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05782"/>
      <w:docPartObj>
        <w:docPartGallery w:val="Page Numbers (Bottom of Page)"/>
        <w:docPartUnique/>
      </w:docPartObj>
    </w:sdtPr>
    <w:sdtContent>
      <w:p w14:paraId="0CB6ED8E" w14:textId="4F214942" w:rsidR="00CD2FBF" w:rsidRDefault="00CD2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77ACA" w14:textId="77777777" w:rsidR="00CD2FBF" w:rsidRDefault="00CD2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7E32" w14:textId="77777777" w:rsidR="005968A5" w:rsidRDefault="005968A5" w:rsidP="00CD2FBF">
      <w:pPr>
        <w:spacing w:after="0" w:line="240" w:lineRule="auto"/>
      </w:pPr>
      <w:r>
        <w:separator/>
      </w:r>
    </w:p>
  </w:footnote>
  <w:footnote w:type="continuationSeparator" w:id="0">
    <w:p w14:paraId="5662BACD" w14:textId="77777777" w:rsidR="005968A5" w:rsidRDefault="005968A5" w:rsidP="00CD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CDA4"/>
    <w:multiLevelType w:val="hybridMultilevel"/>
    <w:tmpl w:val="D8C8289C"/>
    <w:lvl w:ilvl="0" w:tplc="2FD8CA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994E6FA">
      <w:start w:val="1"/>
      <w:numFmt w:val="lowerLetter"/>
      <w:lvlText w:val="%2."/>
      <w:lvlJc w:val="left"/>
      <w:pPr>
        <w:ind w:left="1440" w:hanging="360"/>
      </w:pPr>
    </w:lvl>
    <w:lvl w:ilvl="2" w:tplc="82B26D3A">
      <w:start w:val="1"/>
      <w:numFmt w:val="lowerRoman"/>
      <w:lvlText w:val="%3."/>
      <w:lvlJc w:val="right"/>
      <w:pPr>
        <w:ind w:left="2160" w:hanging="180"/>
      </w:pPr>
    </w:lvl>
    <w:lvl w:ilvl="3" w:tplc="D3561DA6">
      <w:start w:val="1"/>
      <w:numFmt w:val="decimal"/>
      <w:lvlText w:val="%4."/>
      <w:lvlJc w:val="left"/>
      <w:pPr>
        <w:ind w:left="2880" w:hanging="360"/>
      </w:pPr>
    </w:lvl>
    <w:lvl w:ilvl="4" w:tplc="BF8626DC">
      <w:start w:val="1"/>
      <w:numFmt w:val="lowerLetter"/>
      <w:lvlText w:val="%5."/>
      <w:lvlJc w:val="left"/>
      <w:pPr>
        <w:ind w:left="3600" w:hanging="360"/>
      </w:pPr>
    </w:lvl>
    <w:lvl w:ilvl="5" w:tplc="0B2ABD7C">
      <w:start w:val="1"/>
      <w:numFmt w:val="lowerRoman"/>
      <w:lvlText w:val="%6."/>
      <w:lvlJc w:val="right"/>
      <w:pPr>
        <w:ind w:left="4320" w:hanging="180"/>
      </w:pPr>
    </w:lvl>
    <w:lvl w:ilvl="6" w:tplc="B7F2739E">
      <w:start w:val="1"/>
      <w:numFmt w:val="decimal"/>
      <w:lvlText w:val="%7."/>
      <w:lvlJc w:val="left"/>
      <w:pPr>
        <w:ind w:left="5040" w:hanging="360"/>
      </w:pPr>
    </w:lvl>
    <w:lvl w:ilvl="7" w:tplc="F39094FC">
      <w:start w:val="1"/>
      <w:numFmt w:val="lowerLetter"/>
      <w:lvlText w:val="%8."/>
      <w:lvlJc w:val="left"/>
      <w:pPr>
        <w:ind w:left="5760" w:hanging="360"/>
      </w:pPr>
    </w:lvl>
    <w:lvl w:ilvl="8" w:tplc="1F1239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4517"/>
    <w:multiLevelType w:val="hybridMultilevel"/>
    <w:tmpl w:val="94A05EC8"/>
    <w:lvl w:ilvl="0" w:tplc="A3740832">
      <w:start w:val="1"/>
      <w:numFmt w:val="decimal"/>
      <w:lvlText w:val="%1."/>
      <w:lvlJc w:val="left"/>
      <w:pPr>
        <w:ind w:left="720" w:hanging="360"/>
      </w:pPr>
    </w:lvl>
    <w:lvl w:ilvl="1" w:tplc="D63EA290">
      <w:start w:val="1"/>
      <w:numFmt w:val="lowerLetter"/>
      <w:lvlText w:val="%2."/>
      <w:lvlJc w:val="left"/>
      <w:pPr>
        <w:ind w:left="1440" w:hanging="360"/>
      </w:pPr>
    </w:lvl>
    <w:lvl w:ilvl="2" w:tplc="E7CC1FC8">
      <w:start w:val="1"/>
      <w:numFmt w:val="lowerRoman"/>
      <w:lvlText w:val="%3."/>
      <w:lvlJc w:val="right"/>
      <w:pPr>
        <w:ind w:left="2160" w:hanging="180"/>
      </w:pPr>
    </w:lvl>
    <w:lvl w:ilvl="3" w:tplc="81EE2E1C">
      <w:start w:val="1"/>
      <w:numFmt w:val="decimal"/>
      <w:lvlText w:val="%4."/>
      <w:lvlJc w:val="left"/>
      <w:pPr>
        <w:ind w:left="2880" w:hanging="360"/>
      </w:pPr>
    </w:lvl>
    <w:lvl w:ilvl="4" w:tplc="59660B56">
      <w:start w:val="1"/>
      <w:numFmt w:val="lowerLetter"/>
      <w:lvlText w:val="%5."/>
      <w:lvlJc w:val="left"/>
      <w:pPr>
        <w:ind w:left="3600" w:hanging="360"/>
      </w:pPr>
    </w:lvl>
    <w:lvl w:ilvl="5" w:tplc="2E84C9D8">
      <w:start w:val="1"/>
      <w:numFmt w:val="lowerRoman"/>
      <w:lvlText w:val="%6."/>
      <w:lvlJc w:val="right"/>
      <w:pPr>
        <w:ind w:left="4320" w:hanging="180"/>
      </w:pPr>
    </w:lvl>
    <w:lvl w:ilvl="6" w:tplc="1FAA131C">
      <w:start w:val="1"/>
      <w:numFmt w:val="decimal"/>
      <w:lvlText w:val="%7."/>
      <w:lvlJc w:val="left"/>
      <w:pPr>
        <w:ind w:left="5040" w:hanging="360"/>
      </w:pPr>
    </w:lvl>
    <w:lvl w:ilvl="7" w:tplc="816C8B4A">
      <w:start w:val="1"/>
      <w:numFmt w:val="lowerLetter"/>
      <w:lvlText w:val="%8."/>
      <w:lvlJc w:val="left"/>
      <w:pPr>
        <w:ind w:left="5760" w:hanging="360"/>
      </w:pPr>
    </w:lvl>
    <w:lvl w:ilvl="8" w:tplc="304EAD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34B8"/>
    <w:multiLevelType w:val="hybridMultilevel"/>
    <w:tmpl w:val="2D2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4883">
    <w:abstractNumId w:val="2"/>
  </w:num>
  <w:num w:numId="2" w16cid:durableId="1534419653">
    <w:abstractNumId w:val="1"/>
  </w:num>
  <w:num w:numId="3" w16cid:durableId="75925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EB"/>
    <w:rsid w:val="000E3A6A"/>
    <w:rsid w:val="001379EB"/>
    <w:rsid w:val="00223038"/>
    <w:rsid w:val="00290F4B"/>
    <w:rsid w:val="00307AFA"/>
    <w:rsid w:val="00352C10"/>
    <w:rsid w:val="005968A5"/>
    <w:rsid w:val="00661D29"/>
    <w:rsid w:val="00712408"/>
    <w:rsid w:val="009D4DE0"/>
    <w:rsid w:val="00CD2FBF"/>
    <w:rsid w:val="00D14C77"/>
    <w:rsid w:val="00ED5E45"/>
    <w:rsid w:val="00F174AB"/>
    <w:rsid w:val="00F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6BF"/>
  <w15:chartTrackingRefBased/>
  <w15:docId w15:val="{41242B75-4ED3-4F7B-AB53-D64C459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BF"/>
  </w:style>
  <w:style w:type="paragraph" w:styleId="Stopka">
    <w:name w:val="footer"/>
    <w:basedOn w:val="Normalny"/>
    <w:link w:val="Stopka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U012</cp:lastModifiedBy>
  <cp:revision>7</cp:revision>
  <cp:lastPrinted>2023-11-21T09:05:00Z</cp:lastPrinted>
  <dcterms:created xsi:type="dcterms:W3CDTF">2023-11-20T12:43:00Z</dcterms:created>
  <dcterms:modified xsi:type="dcterms:W3CDTF">2023-11-21T09:26:00Z</dcterms:modified>
</cp:coreProperties>
</file>