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3B9E5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6F364193" w14:textId="04AF6DBB" w:rsidR="005E3D38" w:rsidRDefault="005E3D38"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422D35">
          <w:rPr>
            <w:rStyle w:val="Hipercze"/>
            <w:rFonts w:ascii="Sylfaen" w:hAnsi="Sylfaen"/>
            <w:sz w:val="22"/>
            <w:szCs w:val="22"/>
          </w:rPr>
          <w:t>http://bip.med.torun.pl/index.php?id=240&amp;p=10004</w:t>
        </w:r>
      </w:hyperlink>
      <w:r>
        <w:rPr>
          <w:rFonts w:ascii="Sylfaen" w:hAnsi="Sylfaen"/>
          <w:sz w:val="22"/>
          <w:szCs w:val="22"/>
        </w:rPr>
        <w:t xml:space="preserve"> </w:t>
      </w:r>
    </w:p>
    <w:p w14:paraId="3C640704" w14:textId="3EF26835" w:rsidR="00C2468C" w:rsidRDefault="005E3D38"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422D35">
          <w:rPr>
            <w:rStyle w:val="Hipercze"/>
            <w:rFonts w:ascii="Sylfaen" w:hAnsi="Sylfaen" w:cs="Tahoma"/>
            <w:sz w:val="22"/>
            <w:szCs w:val="22"/>
          </w:rPr>
          <w:t>https://miniportal.uzp.gov.pl</w:t>
        </w:r>
      </w:hyperlink>
    </w:p>
    <w:p w14:paraId="456CC1CE" w14:textId="3BA44F32" w:rsidR="005E3D38" w:rsidRPr="0071473E" w:rsidRDefault="00800805"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422D35">
          <w:rPr>
            <w:rStyle w:val="Hipercze"/>
            <w:rFonts w:ascii="Sylfaen" w:hAnsi="Sylfaen"/>
            <w:sz w:val="22"/>
            <w:szCs w:val="22"/>
          </w:rPr>
          <w:t>https://miniportal.uzp.gov.pl/Postepowania/cd2d5ffd-74f5-49bf-911e-ae6980575c5c</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79154DD"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1872C3">
        <w:rPr>
          <w:rStyle w:val="Domylnaczcionkaakapitu1"/>
          <w:rFonts w:ascii="Sylfaen" w:eastAsia="Calibri" w:hAnsi="Sylfaen"/>
          <w:b/>
          <w:bCs/>
          <w:sz w:val="22"/>
          <w:szCs w:val="22"/>
        </w:rPr>
        <w:t>SSM.DZP.200.97.2022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C92F9E4"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1872C3" w:rsidRPr="001872C3">
        <w:rPr>
          <w:rFonts w:ascii="Sylfaen" w:hAnsi="Sylfaen"/>
          <w:b/>
          <w:bCs/>
          <w:sz w:val="28"/>
          <w:szCs w:val="28"/>
        </w:rPr>
        <w:t>STERYLNEJ WODY APIROGENNEJ Z OSPRZĘTEM DO TERAPII TLENOWEJ ORAZ REGULATORÓW PRÓŻNI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669010B" w14:textId="1D899BE3"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1872C3">
        <w:rPr>
          <w:rFonts w:ascii="Sylfaen" w:hAnsi="Sylfaen"/>
          <w:sz w:val="18"/>
          <w:szCs w:val="18"/>
        </w:rPr>
        <w:t xml:space="preserve">sterylnej wody </w:t>
      </w:r>
      <w:proofErr w:type="spellStart"/>
      <w:r w:rsidR="001872C3">
        <w:rPr>
          <w:rFonts w:ascii="Sylfaen" w:hAnsi="Sylfaen"/>
          <w:sz w:val="18"/>
          <w:szCs w:val="18"/>
        </w:rPr>
        <w:t>apirogennej</w:t>
      </w:r>
      <w:proofErr w:type="spellEnd"/>
      <w:r w:rsidR="001872C3">
        <w:rPr>
          <w:rFonts w:ascii="Sylfaen" w:hAnsi="Sylfaen"/>
          <w:sz w:val="18"/>
          <w:szCs w:val="18"/>
        </w:rPr>
        <w:t xml:space="preserve"> z osprzętem do terapii tlenowej oraz regulatorów próżni </w:t>
      </w:r>
      <w:r w:rsidR="00AC093B">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 rozbiciu na zadania:</w:t>
      </w:r>
    </w:p>
    <w:p w14:paraId="136682D5" w14:textId="2C135C43"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Zadanie 1 – Zadanie I,</w:t>
      </w:r>
    </w:p>
    <w:p w14:paraId="65347337" w14:textId="7DC73534"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Zadnie 2 – Zadanie II.</w:t>
      </w: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31FD7DD4" w14:textId="3A638673"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593121">
        <w:rPr>
          <w:rFonts w:ascii="Sylfaen" w:hAnsi="Sylfaen"/>
          <w:sz w:val="18"/>
          <w:szCs w:val="18"/>
        </w:rPr>
        <w:t>33</w:t>
      </w:r>
      <w:r w:rsidR="001872C3">
        <w:rPr>
          <w:rFonts w:ascii="Sylfaen" w:hAnsi="Sylfaen"/>
          <w:sz w:val="18"/>
          <w:szCs w:val="18"/>
        </w:rPr>
        <w:t>157000-5, 33157810-6, 33190000-8</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0FEF3A65"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dla danej części</w:t>
      </w:r>
      <w:r w:rsidR="00C85F27" w:rsidRPr="005F59D1">
        <w:rPr>
          <w:rFonts w:ascii="Sylfaen" w:hAnsi="Sylfaen"/>
          <w:sz w:val="18"/>
          <w:szCs w:val="18"/>
        </w:rPr>
        <w:t xml:space="preserv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621BD2AE"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1872C3">
        <w:rPr>
          <w:rStyle w:val="Domylnaczcionkaakapitu1"/>
          <w:rFonts w:ascii="Sylfaen" w:eastAsia="Calibri" w:hAnsi="Sylfaen"/>
          <w:sz w:val="18"/>
          <w:szCs w:val="18"/>
        </w:rPr>
        <w:t>SSM.DZP.200.97.2022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 xml:space="preserve">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w:t>
      </w:r>
      <w:r w:rsidRPr="005F59D1">
        <w:rPr>
          <w:rFonts w:ascii="Sylfaen" w:hAnsi="Sylfaen" w:cstheme="minorHAnsi"/>
          <w:sz w:val="18"/>
          <w:szCs w:val="18"/>
        </w:rPr>
        <w:lastRenderedPageBreak/>
        <w:t>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w:t>
      </w:r>
      <w:r w:rsidRPr="005F59D1">
        <w:rPr>
          <w:rFonts w:ascii="Sylfaen" w:hAnsi="Sylfaen" w:cs="Tahoma"/>
          <w:sz w:val="18"/>
          <w:szCs w:val="18"/>
        </w:rPr>
        <w:lastRenderedPageBreak/>
        <w:t xml:space="preserve">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121EBEF"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01596758"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1872C3">
        <w:rPr>
          <w:rFonts w:ascii="Sylfaen" w:hAnsi="Sylfaen"/>
          <w:b/>
          <w:bCs/>
          <w:i/>
          <w:iCs/>
          <w:sz w:val="18"/>
          <w:szCs w:val="18"/>
        </w:rPr>
        <w:t xml:space="preserve">sterylnej wody </w:t>
      </w:r>
      <w:proofErr w:type="spellStart"/>
      <w:r w:rsidR="001872C3">
        <w:rPr>
          <w:rFonts w:ascii="Sylfaen" w:hAnsi="Sylfaen"/>
          <w:b/>
          <w:bCs/>
          <w:i/>
          <w:iCs/>
          <w:sz w:val="18"/>
          <w:szCs w:val="18"/>
        </w:rPr>
        <w:lastRenderedPageBreak/>
        <w:t>apirogennej</w:t>
      </w:r>
      <w:proofErr w:type="spellEnd"/>
      <w:r w:rsidR="001872C3">
        <w:rPr>
          <w:rFonts w:ascii="Sylfaen" w:hAnsi="Sylfaen"/>
          <w:b/>
          <w:bCs/>
          <w:i/>
          <w:iCs/>
          <w:sz w:val="18"/>
          <w:szCs w:val="18"/>
        </w:rPr>
        <w:t xml:space="preserve"> z osprzętem do terapii tlenowej oraz regulatorów próżni </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1872C3">
        <w:rPr>
          <w:rFonts w:ascii="Sylfaen" w:hAnsi="Sylfaen" w:cs="Calibri"/>
          <w:b/>
          <w:bCs/>
          <w:i/>
          <w:iCs/>
          <w:sz w:val="18"/>
          <w:szCs w:val="18"/>
        </w:rPr>
        <w:t>SSM.DZP.200.97.2022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3620F874"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72C3">
        <w:rPr>
          <w:rFonts w:ascii="Sylfaen" w:hAnsi="Sylfaen"/>
          <w:sz w:val="18"/>
          <w:szCs w:val="18"/>
        </w:rPr>
        <w:t>szt.</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0C08C9C6"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3</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367FBDE1"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981862">
        <w:rPr>
          <w:rFonts w:ascii="Sylfaen" w:hAnsi="Sylfaen"/>
          <w:b/>
          <w:bCs/>
          <w:color w:val="0070C0"/>
          <w:sz w:val="18"/>
          <w:szCs w:val="18"/>
        </w:rPr>
        <w:t>3</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981862">
        <w:rPr>
          <w:rFonts w:ascii="Sylfaen" w:hAnsi="Sylfaen"/>
          <w:b/>
          <w:color w:val="0070C0"/>
          <w:sz w:val="18"/>
          <w:szCs w:val="18"/>
        </w:rPr>
        <w:t>10:00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8D9F34C"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981862">
        <w:rPr>
          <w:rFonts w:ascii="Sylfaen" w:hAnsi="Sylfaen"/>
          <w:b/>
          <w:bCs/>
          <w:color w:val="0070C0"/>
          <w:sz w:val="18"/>
          <w:szCs w:val="18"/>
        </w:rPr>
        <w:t>2</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lastRenderedPageBreak/>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458022C1" w14:textId="3EDE3E9D" w:rsidR="00912B06" w:rsidRDefault="008C3253" w:rsidP="008C3253">
      <w:pPr>
        <w:ind w:left="360"/>
        <w:rPr>
          <w:iCs/>
          <w:sz w:val="22"/>
        </w:rPr>
      </w:pPr>
      <w:r>
        <w:rPr>
          <w:iCs/>
          <w:sz w:val="22"/>
        </w:rPr>
        <w:t>Zadanie 1 – Zadanie I</w:t>
      </w:r>
    </w:p>
    <w:p w14:paraId="6F14F46F" w14:textId="77777777" w:rsidR="008C3253" w:rsidRPr="005E4649" w:rsidRDefault="008C3253" w:rsidP="008C3253">
      <w:pPr>
        <w:ind w:left="360"/>
        <w:rPr>
          <w:iCs/>
          <w:sz w:val="22"/>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D8274E" w:rsidRPr="006C6E64" w14:paraId="0FDFDCEC" w14:textId="77777777" w:rsidTr="00A35BE9">
        <w:tc>
          <w:tcPr>
            <w:tcW w:w="492" w:type="dxa"/>
            <w:shd w:val="clear" w:color="auto" w:fill="auto"/>
            <w:vAlign w:val="center"/>
          </w:tcPr>
          <w:p w14:paraId="0167553A" w14:textId="0585F106"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Lp</w:t>
            </w:r>
            <w:r w:rsidR="001872C3">
              <w:rPr>
                <w:rFonts w:ascii="Calibri" w:hAnsi="Calibri" w:cs="Calibri"/>
                <w:color w:val="000000"/>
                <w:sz w:val="18"/>
                <w:szCs w:val="18"/>
              </w:rPr>
              <w:t>1</w:t>
            </w:r>
            <w:r w:rsidRPr="006C6E64">
              <w:rPr>
                <w:rFonts w:ascii="Calibri" w:hAnsi="Calibri" w:cs="Calibri"/>
                <w:color w:val="000000"/>
                <w:sz w:val="18"/>
                <w:szCs w:val="18"/>
              </w:rPr>
              <w:t>.</w:t>
            </w:r>
          </w:p>
        </w:tc>
        <w:tc>
          <w:tcPr>
            <w:tcW w:w="2694" w:type="dxa"/>
            <w:shd w:val="clear" w:color="auto" w:fill="auto"/>
            <w:vAlign w:val="center"/>
          </w:tcPr>
          <w:p w14:paraId="743D5341" w14:textId="77777777" w:rsidR="00D8274E" w:rsidRPr="00F04C70" w:rsidRDefault="00D8274E" w:rsidP="00AD3F65">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6FAFE5DD"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4A124167"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3963D879"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46745B72"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78E4F4CF" w14:textId="77777777" w:rsidR="00D8274E" w:rsidRPr="006C6E64" w:rsidRDefault="00D8274E" w:rsidP="00AD3F65">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0290A596"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022D0CB1"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0B19891A"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PODAĆ:</w:t>
            </w:r>
          </w:p>
          <w:p w14:paraId="6DAD4F32"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1.NAZWĘ PRODUCENTA</w:t>
            </w:r>
          </w:p>
          <w:p w14:paraId="2CC421D2"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2. NAZWA HANDLOWA</w:t>
            </w:r>
          </w:p>
          <w:p w14:paraId="330A1F45" w14:textId="7B523FB1" w:rsidR="00D8274E" w:rsidRPr="00D8274E" w:rsidRDefault="00D8274E" w:rsidP="00D8274E">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102FCD45" w14:textId="77F2F68D" w:rsidR="00D8274E" w:rsidRPr="00D8274E" w:rsidRDefault="00D8274E" w:rsidP="00AD3F65">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6C6E64" w:rsidRDefault="00D8274E" w:rsidP="00AD3F65">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7B10A4" w:rsidRPr="006C6E64" w14:paraId="76E53DA2" w14:textId="77777777" w:rsidTr="00A35BE9">
        <w:tc>
          <w:tcPr>
            <w:tcW w:w="492" w:type="dxa"/>
            <w:shd w:val="clear" w:color="auto" w:fill="auto"/>
            <w:vAlign w:val="center"/>
          </w:tcPr>
          <w:p w14:paraId="42499AE5" w14:textId="584BE211"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1CC8091A" w14:textId="33DCA245" w:rsidR="007B10A4" w:rsidRPr="00A35BE9" w:rsidRDefault="007B10A4" w:rsidP="007B10A4">
            <w:pPr>
              <w:snapToGrid w:val="0"/>
              <w:rPr>
                <w:rFonts w:ascii="Calibri" w:hAnsi="Calibri" w:cs="Calibri"/>
                <w:sz w:val="18"/>
                <w:szCs w:val="18"/>
              </w:rPr>
            </w:pPr>
            <w:r w:rsidRPr="00146F98">
              <w:rPr>
                <w:rFonts w:ascii="Calibri" w:hAnsi="Calibri"/>
                <w:sz w:val="20"/>
              </w:rPr>
              <w:t>APIROGENNA WODA STERYLNA: STERYLNA WODA APIROGENNA DO NAWILŻANIA TLENU W JEDNORAZOWYM POJEMNIKU W ZAKRESIE 325- 340ML, ZE STERYLNIE ZAPAKOWANYM ŁĄCZNIKIEM DO DOZOWNIKA TLENU. POTWIERDZONA BADANIAMI KLINICZNYMI MOŻLIWOŚĆ ZASTOSOWANIA WODY POWYŻEJ 24H - PRÓBKA</w:t>
            </w:r>
          </w:p>
        </w:tc>
        <w:tc>
          <w:tcPr>
            <w:tcW w:w="709" w:type="dxa"/>
            <w:shd w:val="clear" w:color="auto" w:fill="auto"/>
            <w:vAlign w:val="center"/>
          </w:tcPr>
          <w:p w14:paraId="4111EFFB" w14:textId="3249F76D"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6830393D" w14:textId="5AA5D994"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9800</w:t>
            </w:r>
          </w:p>
        </w:tc>
        <w:tc>
          <w:tcPr>
            <w:tcW w:w="709" w:type="dxa"/>
            <w:shd w:val="clear" w:color="auto" w:fill="auto"/>
            <w:vAlign w:val="center"/>
          </w:tcPr>
          <w:p w14:paraId="1D10B6D3"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25427214"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011F304D"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248CB4F1"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45065985" w14:textId="77777777" w:rsidR="007B10A4" w:rsidRPr="00D8274E" w:rsidRDefault="007B10A4" w:rsidP="007B10A4">
            <w:pPr>
              <w:jc w:val="center"/>
              <w:rPr>
                <w:rFonts w:ascii="Calibri" w:hAnsi="Calibri" w:cs="Arial"/>
                <w:sz w:val="16"/>
                <w:szCs w:val="16"/>
              </w:rPr>
            </w:pPr>
          </w:p>
        </w:tc>
        <w:tc>
          <w:tcPr>
            <w:tcW w:w="1179" w:type="dxa"/>
            <w:vAlign w:val="center"/>
          </w:tcPr>
          <w:p w14:paraId="1FA50BBD"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19C00750"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7EF2298E" w14:textId="77777777" w:rsidTr="00A35BE9">
        <w:tc>
          <w:tcPr>
            <w:tcW w:w="492" w:type="dxa"/>
            <w:shd w:val="clear" w:color="auto" w:fill="auto"/>
            <w:vAlign w:val="center"/>
          </w:tcPr>
          <w:p w14:paraId="072B2F2F" w14:textId="77CDF425"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1EBDD659" w14:textId="2798D976" w:rsidR="007B10A4" w:rsidRPr="00A35BE9" w:rsidRDefault="007B10A4" w:rsidP="007B10A4">
            <w:pPr>
              <w:snapToGrid w:val="0"/>
              <w:rPr>
                <w:rFonts w:ascii="Calibri" w:hAnsi="Calibri" w:cs="Calibri"/>
                <w:sz w:val="18"/>
                <w:szCs w:val="18"/>
              </w:rPr>
            </w:pPr>
            <w:r w:rsidRPr="00146F98">
              <w:rPr>
                <w:rFonts w:ascii="Calibri" w:hAnsi="Calibri"/>
                <w:sz w:val="20"/>
              </w:rPr>
              <w:t>DOZOWNIK TLENOWY: DOZOWNIK TLENU KOMPATYBILNY Z POJEMNIKAMI JEDNORAZOWEGO UŻYTKU Z WODĄ STERYLNĄ Z PKT.1, PRZEZNACZONE DO BEZPOŚREDNIEGO PODŁĄCZENIA (POPRZEZ DEDYKOWALNĄ KOŃCÓWKĘ WTYKOWĄ) DO ODPOWIEDNICH PUNKTÓW POBORU GAZÓW MEDYCZNYCH TYPU AGA, DIN (MONTOWANYCH BEZPOŚREDNIO W ŚCIANIE, PANELACH NADŁÓŻKOWYCH, KOLUMNACH ANESTEZJOLOGICZNYCH ITP). PRZEPŁYW OD 0 DO 15 -17L/MIN., PŁYNNA REGULACJA PRZEPŁYWU ZA POMOCĄ POKRĘTŁA.</w:t>
            </w:r>
          </w:p>
        </w:tc>
        <w:tc>
          <w:tcPr>
            <w:tcW w:w="709" w:type="dxa"/>
            <w:shd w:val="clear" w:color="auto" w:fill="auto"/>
            <w:vAlign w:val="center"/>
          </w:tcPr>
          <w:p w14:paraId="73D4D79D" w14:textId="2DDB3D6A"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4760A695" w14:textId="4ECFD22A"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178</w:t>
            </w:r>
          </w:p>
        </w:tc>
        <w:tc>
          <w:tcPr>
            <w:tcW w:w="709" w:type="dxa"/>
            <w:shd w:val="clear" w:color="auto" w:fill="auto"/>
            <w:vAlign w:val="center"/>
          </w:tcPr>
          <w:p w14:paraId="61E38867"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70F4D54B"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7BA7A470"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695C692D"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193BD35E" w14:textId="77777777" w:rsidR="007B10A4" w:rsidRPr="00D8274E" w:rsidRDefault="007B10A4" w:rsidP="007B10A4">
            <w:pPr>
              <w:jc w:val="center"/>
              <w:rPr>
                <w:rFonts w:ascii="Calibri" w:hAnsi="Calibri" w:cs="Arial"/>
                <w:sz w:val="16"/>
                <w:szCs w:val="16"/>
              </w:rPr>
            </w:pPr>
          </w:p>
        </w:tc>
        <w:tc>
          <w:tcPr>
            <w:tcW w:w="1179" w:type="dxa"/>
            <w:vAlign w:val="center"/>
          </w:tcPr>
          <w:p w14:paraId="272885D5"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58A2F732"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55009D61" w14:textId="77777777" w:rsidTr="00A35BE9">
        <w:tc>
          <w:tcPr>
            <w:tcW w:w="492" w:type="dxa"/>
            <w:shd w:val="clear" w:color="auto" w:fill="auto"/>
            <w:vAlign w:val="center"/>
          </w:tcPr>
          <w:p w14:paraId="499C598E" w14:textId="331C1B30"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0E24809E" w14:textId="15BE7A1D" w:rsidR="007B10A4" w:rsidRPr="00A35BE9" w:rsidRDefault="007B10A4" w:rsidP="007B10A4">
            <w:pPr>
              <w:snapToGrid w:val="0"/>
              <w:rPr>
                <w:rFonts w:ascii="Calibri" w:hAnsi="Calibri" w:cs="Calibri"/>
                <w:sz w:val="18"/>
                <w:szCs w:val="18"/>
              </w:rPr>
            </w:pPr>
            <w:r w:rsidRPr="00146F98">
              <w:rPr>
                <w:rFonts w:ascii="Calibri" w:hAnsi="Calibri"/>
                <w:sz w:val="20"/>
              </w:rPr>
              <w:t>ŁĄCZNIK DO DOZOWNIKA: ŁĄCZNIKI (PRZEJŚCIÓWKI) DOSTOSOWUJĄCE DOZOWNIKI POSIADANE PRZEZ ZAMAWIAJĄCEGO DO OFEROWANEGO ZAMKNIĘTEGO SYSTEMU NAWILŻANIA TLENU</w:t>
            </w:r>
          </w:p>
        </w:tc>
        <w:tc>
          <w:tcPr>
            <w:tcW w:w="709" w:type="dxa"/>
            <w:shd w:val="clear" w:color="auto" w:fill="auto"/>
            <w:vAlign w:val="center"/>
          </w:tcPr>
          <w:p w14:paraId="2966F3AF" w14:textId="475F70BE"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6D9F4295" w14:textId="33750A6E"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5</w:t>
            </w:r>
          </w:p>
        </w:tc>
        <w:tc>
          <w:tcPr>
            <w:tcW w:w="709" w:type="dxa"/>
            <w:shd w:val="clear" w:color="auto" w:fill="auto"/>
            <w:vAlign w:val="center"/>
          </w:tcPr>
          <w:p w14:paraId="11CA4F4F"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195142DF"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5D7F2F30"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73423DE5"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4F4D64E4" w14:textId="77777777" w:rsidR="007B10A4" w:rsidRPr="00D8274E" w:rsidRDefault="007B10A4" w:rsidP="007B10A4">
            <w:pPr>
              <w:jc w:val="center"/>
              <w:rPr>
                <w:rFonts w:ascii="Calibri" w:hAnsi="Calibri" w:cs="Arial"/>
                <w:sz w:val="16"/>
                <w:szCs w:val="16"/>
              </w:rPr>
            </w:pPr>
          </w:p>
        </w:tc>
        <w:tc>
          <w:tcPr>
            <w:tcW w:w="1179" w:type="dxa"/>
            <w:vAlign w:val="center"/>
          </w:tcPr>
          <w:p w14:paraId="67244B7A"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7670808D"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79FA852C" w14:textId="77777777" w:rsidTr="00A35BE9">
        <w:tc>
          <w:tcPr>
            <w:tcW w:w="492" w:type="dxa"/>
            <w:shd w:val="clear" w:color="auto" w:fill="auto"/>
            <w:vAlign w:val="center"/>
          </w:tcPr>
          <w:p w14:paraId="01A8D467" w14:textId="4627F312" w:rsidR="007B10A4" w:rsidRDefault="007B10A4" w:rsidP="007B10A4">
            <w:pPr>
              <w:snapToGrid w:val="0"/>
              <w:rPr>
                <w:rFonts w:ascii="Calibri" w:hAnsi="Calibri" w:cs="Calibri"/>
                <w:color w:val="000000"/>
                <w:sz w:val="18"/>
                <w:szCs w:val="18"/>
              </w:rPr>
            </w:pPr>
          </w:p>
        </w:tc>
        <w:tc>
          <w:tcPr>
            <w:tcW w:w="2694" w:type="dxa"/>
            <w:shd w:val="clear" w:color="auto" w:fill="auto"/>
            <w:vAlign w:val="center"/>
          </w:tcPr>
          <w:p w14:paraId="44E91D01" w14:textId="22E9577A" w:rsidR="007B10A4" w:rsidRPr="00785119" w:rsidRDefault="007B10A4" w:rsidP="007B10A4">
            <w:pPr>
              <w:pStyle w:val="Bezodstpw"/>
              <w:rPr>
                <w:sz w:val="18"/>
                <w:szCs w:val="18"/>
              </w:rPr>
            </w:pPr>
            <w:r w:rsidRPr="00785119">
              <w:rPr>
                <w:sz w:val="18"/>
                <w:szCs w:val="18"/>
              </w:rPr>
              <w:t>OGÓŁEM</w:t>
            </w:r>
          </w:p>
        </w:tc>
        <w:tc>
          <w:tcPr>
            <w:tcW w:w="709" w:type="dxa"/>
            <w:shd w:val="clear" w:color="auto" w:fill="auto"/>
            <w:vAlign w:val="center"/>
          </w:tcPr>
          <w:p w14:paraId="3E0A81F0" w14:textId="77777777" w:rsidR="007B10A4" w:rsidRPr="006C6E64" w:rsidRDefault="007B10A4" w:rsidP="007B10A4">
            <w:pPr>
              <w:snapToGrid w:val="0"/>
              <w:rPr>
                <w:rFonts w:ascii="Calibri" w:hAnsi="Calibri" w:cs="Calibri"/>
                <w:color w:val="000000"/>
                <w:sz w:val="18"/>
                <w:szCs w:val="18"/>
              </w:rPr>
            </w:pPr>
          </w:p>
        </w:tc>
        <w:tc>
          <w:tcPr>
            <w:tcW w:w="567" w:type="dxa"/>
            <w:shd w:val="clear" w:color="auto" w:fill="auto"/>
            <w:vAlign w:val="center"/>
          </w:tcPr>
          <w:p w14:paraId="34279992" w14:textId="77777777" w:rsidR="007B10A4" w:rsidRPr="006C6E64" w:rsidRDefault="007B10A4" w:rsidP="007B10A4">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7B10A4" w:rsidRPr="006C6E64" w:rsidRDefault="007B10A4" w:rsidP="007B10A4">
            <w:pPr>
              <w:snapToGrid w:val="0"/>
              <w:rPr>
                <w:rFonts w:ascii="Calibri" w:hAnsi="Calibri" w:cs="Calibri"/>
                <w:color w:val="000000"/>
                <w:sz w:val="18"/>
                <w:szCs w:val="18"/>
              </w:rPr>
            </w:pPr>
          </w:p>
        </w:tc>
        <w:tc>
          <w:tcPr>
            <w:tcW w:w="829" w:type="dxa"/>
            <w:shd w:val="clear" w:color="auto" w:fill="auto"/>
            <w:vAlign w:val="center"/>
          </w:tcPr>
          <w:p w14:paraId="75996F37" w14:textId="77777777" w:rsidR="007B10A4" w:rsidRPr="006C6E64" w:rsidRDefault="007B10A4" w:rsidP="007B10A4">
            <w:pPr>
              <w:snapToGrid w:val="0"/>
              <w:rPr>
                <w:rFonts w:ascii="Calibri" w:hAnsi="Calibri" w:cs="Calibri"/>
                <w:color w:val="000000"/>
                <w:sz w:val="18"/>
                <w:szCs w:val="18"/>
              </w:rPr>
            </w:pPr>
          </w:p>
        </w:tc>
        <w:tc>
          <w:tcPr>
            <w:tcW w:w="305" w:type="dxa"/>
            <w:shd w:val="clear" w:color="auto" w:fill="auto"/>
            <w:vAlign w:val="center"/>
          </w:tcPr>
          <w:p w14:paraId="1A4C9262" w14:textId="77777777" w:rsidR="007B10A4" w:rsidRPr="006C6E64" w:rsidRDefault="007B10A4" w:rsidP="007B10A4">
            <w:pPr>
              <w:snapToGrid w:val="0"/>
              <w:rPr>
                <w:rFonts w:ascii="Calibri" w:hAnsi="Calibri" w:cs="Calibri"/>
                <w:color w:val="000000"/>
                <w:sz w:val="18"/>
                <w:szCs w:val="18"/>
              </w:rPr>
            </w:pPr>
          </w:p>
        </w:tc>
        <w:tc>
          <w:tcPr>
            <w:tcW w:w="922" w:type="dxa"/>
            <w:shd w:val="clear" w:color="auto" w:fill="auto"/>
            <w:vAlign w:val="center"/>
          </w:tcPr>
          <w:p w14:paraId="069887C1" w14:textId="77777777" w:rsidR="007B10A4" w:rsidRPr="006C6E64" w:rsidRDefault="007B10A4" w:rsidP="007B10A4">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7B10A4" w:rsidRPr="006C6E64" w:rsidRDefault="007B10A4" w:rsidP="007B10A4">
            <w:pPr>
              <w:snapToGrid w:val="0"/>
              <w:rPr>
                <w:rFonts w:ascii="Calibri" w:hAnsi="Calibri" w:cs="Calibri"/>
                <w:color w:val="000000"/>
                <w:sz w:val="18"/>
                <w:szCs w:val="18"/>
              </w:rPr>
            </w:pPr>
          </w:p>
        </w:tc>
        <w:tc>
          <w:tcPr>
            <w:tcW w:w="1179" w:type="dxa"/>
            <w:vAlign w:val="center"/>
          </w:tcPr>
          <w:p w14:paraId="4FB9DA4A" w14:textId="77777777" w:rsidR="007B10A4" w:rsidRPr="006C6E64" w:rsidRDefault="007B10A4" w:rsidP="007B10A4">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7B10A4" w:rsidRPr="006C6E64" w:rsidRDefault="007B10A4" w:rsidP="007B10A4">
            <w:pPr>
              <w:snapToGrid w:val="0"/>
              <w:jc w:val="center"/>
              <w:rPr>
                <w:rFonts w:ascii="Calibri" w:hAnsi="Calibri" w:cs="Calibri"/>
                <w:color w:val="000000"/>
                <w:sz w:val="18"/>
                <w:szCs w:val="18"/>
              </w:rPr>
            </w:pPr>
          </w:p>
        </w:tc>
      </w:tr>
    </w:tbl>
    <w:p w14:paraId="6BC008D5" w14:textId="221DD1DC" w:rsidR="008C3253" w:rsidRDefault="008C3253" w:rsidP="008B75B1">
      <w:pPr>
        <w:jc w:val="both"/>
        <w:rPr>
          <w:rFonts w:eastAsia="TimesNewRomanPSMT"/>
          <w:b/>
          <w:bCs/>
        </w:rPr>
      </w:pPr>
    </w:p>
    <w:p w14:paraId="6D089CD1" w14:textId="77777777" w:rsidR="001872C3" w:rsidRDefault="001872C3" w:rsidP="008B75B1">
      <w:pPr>
        <w:jc w:val="both"/>
        <w:rPr>
          <w:rFonts w:eastAsia="TimesNewRomanPSMT"/>
          <w:b/>
          <w:bCs/>
        </w:rPr>
      </w:pPr>
    </w:p>
    <w:p w14:paraId="411FB982" w14:textId="6C57AC39" w:rsidR="008C3253" w:rsidRDefault="008C3253" w:rsidP="008C3253">
      <w:pPr>
        <w:ind w:left="360"/>
        <w:rPr>
          <w:iCs/>
          <w:sz w:val="22"/>
        </w:rPr>
      </w:pPr>
      <w:r>
        <w:rPr>
          <w:iCs/>
          <w:sz w:val="22"/>
        </w:rPr>
        <w:t>Zadanie 2 – Zadanie II</w:t>
      </w:r>
    </w:p>
    <w:p w14:paraId="791C79E1" w14:textId="77777777" w:rsidR="008C3253" w:rsidRPr="005E4649" w:rsidRDefault="008C3253" w:rsidP="008C3253">
      <w:pPr>
        <w:ind w:left="360"/>
        <w:rPr>
          <w:iCs/>
          <w:sz w:val="22"/>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8C3253" w:rsidRPr="006C6E64" w14:paraId="1DF68B9A" w14:textId="77777777" w:rsidTr="00A35BE9">
        <w:tc>
          <w:tcPr>
            <w:tcW w:w="492" w:type="dxa"/>
            <w:shd w:val="clear" w:color="auto" w:fill="auto"/>
            <w:vAlign w:val="center"/>
          </w:tcPr>
          <w:p w14:paraId="547C9BC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4B7128FD" w14:textId="77777777" w:rsidR="008C3253" w:rsidRPr="00F04C70" w:rsidRDefault="008C3253" w:rsidP="000C26C6">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F3E49E0"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23A4F9A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0B0A6F5C"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2A5EE14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14F55E3A" w14:textId="77777777" w:rsidR="008C3253" w:rsidRPr="006C6E64" w:rsidRDefault="008C3253" w:rsidP="000C26C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42C8D1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C2DAA22"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5EE4C114"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PODAĆ:</w:t>
            </w:r>
          </w:p>
          <w:p w14:paraId="08CFF73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1.NAZWĘ PRODUCENTA</w:t>
            </w:r>
          </w:p>
          <w:p w14:paraId="2D4C598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2. NAZWA HANDLOWA</w:t>
            </w:r>
          </w:p>
          <w:p w14:paraId="6513EB6E" w14:textId="77777777" w:rsidR="008C3253" w:rsidRPr="00D8274E" w:rsidRDefault="008C3253" w:rsidP="000C26C6">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483BD52B" w14:textId="77777777" w:rsidR="008C3253" w:rsidRPr="00D8274E" w:rsidRDefault="008C3253" w:rsidP="000C26C6">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3A6DB647" w14:textId="77777777" w:rsidR="008C3253" w:rsidRPr="006C6E64" w:rsidRDefault="008C3253" w:rsidP="000C26C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7B10A4" w:rsidRPr="006C6E64" w14:paraId="25F32C86" w14:textId="77777777" w:rsidTr="00A35BE9">
        <w:tc>
          <w:tcPr>
            <w:tcW w:w="492" w:type="dxa"/>
            <w:shd w:val="clear" w:color="auto" w:fill="auto"/>
            <w:vAlign w:val="center"/>
          </w:tcPr>
          <w:p w14:paraId="16564334" w14:textId="78C54E8A"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65CD479" w14:textId="4D8B92DA" w:rsidR="007B10A4" w:rsidRPr="00A35BE9" w:rsidRDefault="007B10A4" w:rsidP="007B10A4">
            <w:pPr>
              <w:snapToGrid w:val="0"/>
              <w:rPr>
                <w:rFonts w:ascii="Calibri" w:hAnsi="Calibri" w:cs="Calibri"/>
                <w:sz w:val="18"/>
                <w:szCs w:val="18"/>
              </w:rPr>
            </w:pPr>
            <w:r w:rsidRPr="00115730">
              <w:rPr>
                <w:rFonts w:ascii="Calibri" w:hAnsi="Calibri" w:cs="Calibri"/>
                <w:sz w:val="20"/>
              </w:rPr>
              <w:t>REGULATOR PRÓŻNI Z POJEMNIKIEM WIELORAZOWEGO UŻYTKU – SZKLANYM, Z POLISULFONU LUB POLIWĘGLANOWYM O POJEMNOŚCI 0,1-0,5L, PRZEZNACZONY DO PODŁĄCZANIA DO PUNKTU POBORU PRÓŻNI ZGODNEGO Z SYSTEMEM TYPU AGA. POJEMNIK PRZEZNACZONY DO STERYLIZACJI W AUTOKLAWIE W TEMP. 121- 134 STOPNI C. GWARANCJA NA W/W PRODUKTY MIN. 24 MIESIĄCE</w:t>
            </w:r>
          </w:p>
        </w:tc>
        <w:tc>
          <w:tcPr>
            <w:tcW w:w="709" w:type="dxa"/>
            <w:shd w:val="clear" w:color="auto" w:fill="auto"/>
            <w:vAlign w:val="center"/>
          </w:tcPr>
          <w:p w14:paraId="324FCA60" w14:textId="7E8D9FBD"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3A1382FE" w14:textId="1A36211B"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20</w:t>
            </w:r>
          </w:p>
        </w:tc>
        <w:tc>
          <w:tcPr>
            <w:tcW w:w="709" w:type="dxa"/>
            <w:shd w:val="clear" w:color="auto" w:fill="auto"/>
            <w:vAlign w:val="center"/>
          </w:tcPr>
          <w:p w14:paraId="19951401"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072D3A04"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6D176226"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351D3C93"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3DA9951D" w14:textId="77777777" w:rsidR="007B10A4" w:rsidRPr="00D8274E" w:rsidRDefault="007B10A4" w:rsidP="007B10A4">
            <w:pPr>
              <w:jc w:val="center"/>
              <w:rPr>
                <w:rFonts w:ascii="Calibri" w:hAnsi="Calibri" w:cs="Arial"/>
                <w:sz w:val="16"/>
                <w:szCs w:val="16"/>
              </w:rPr>
            </w:pPr>
          </w:p>
        </w:tc>
        <w:tc>
          <w:tcPr>
            <w:tcW w:w="1179" w:type="dxa"/>
            <w:vAlign w:val="center"/>
          </w:tcPr>
          <w:p w14:paraId="2DCA5ED7"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47A527C3"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51292EAB" w14:textId="77777777" w:rsidTr="00A35BE9">
        <w:tc>
          <w:tcPr>
            <w:tcW w:w="492" w:type="dxa"/>
            <w:shd w:val="clear" w:color="auto" w:fill="auto"/>
            <w:vAlign w:val="center"/>
          </w:tcPr>
          <w:p w14:paraId="7CFFCB7F" w14:textId="4462ECA8"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7C2EB787" w14:textId="29A0BDA2" w:rsidR="007B10A4" w:rsidRPr="00A35BE9" w:rsidRDefault="007B10A4" w:rsidP="007B10A4">
            <w:pPr>
              <w:snapToGrid w:val="0"/>
              <w:rPr>
                <w:rFonts w:ascii="Calibri" w:hAnsi="Calibri" w:cs="Calibri"/>
                <w:sz w:val="18"/>
                <w:szCs w:val="18"/>
              </w:rPr>
            </w:pPr>
            <w:r w:rsidRPr="00115730">
              <w:rPr>
                <w:rFonts w:ascii="Calibri" w:hAnsi="Calibri" w:cs="Calibri"/>
                <w:sz w:val="20"/>
              </w:rPr>
              <w:t>REGULATOR PRÓŻNI Z POJEMNIKIEM WIELORAZOWEGO UŻYTKU – SZKLANYM, Z POLISULFONU LUB POLIWĘGLANOWYM O POJEMNOŚCI 0,1-0,5L, PRZEZNACZONY DO PODŁĄCZANIA DO PUNKTU POBORU PRÓŻNI ZGODNEGO Z SYSTEMEM TYPU AGA. WTYK DO GNIAZDA TYPU AGA MUSI MIEĆ DŁUGOŚĆ 12 CM. POJEMNIK PRZEZNACZONY DO STERYLIZACJI W AUTOKLAWIE W TEMP. 121-134 STOPNI C. GWARANCJA NA W/W PRODUKTY MIN. 24 MIESIĄCE</w:t>
            </w:r>
          </w:p>
        </w:tc>
        <w:tc>
          <w:tcPr>
            <w:tcW w:w="709" w:type="dxa"/>
            <w:shd w:val="clear" w:color="auto" w:fill="auto"/>
            <w:vAlign w:val="center"/>
          </w:tcPr>
          <w:p w14:paraId="2743A191" w14:textId="1697CBDE"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689A0453" w14:textId="5874B939"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17</w:t>
            </w:r>
          </w:p>
        </w:tc>
        <w:tc>
          <w:tcPr>
            <w:tcW w:w="709" w:type="dxa"/>
            <w:shd w:val="clear" w:color="auto" w:fill="auto"/>
            <w:vAlign w:val="center"/>
          </w:tcPr>
          <w:p w14:paraId="77A4DD62"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0ACDF4C3"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1A338F92"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47178664"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6C8B8690" w14:textId="77777777" w:rsidR="007B10A4" w:rsidRPr="00D8274E" w:rsidRDefault="007B10A4" w:rsidP="007B10A4">
            <w:pPr>
              <w:jc w:val="center"/>
              <w:rPr>
                <w:rFonts w:ascii="Calibri" w:hAnsi="Calibri" w:cs="Arial"/>
                <w:sz w:val="16"/>
                <w:szCs w:val="16"/>
              </w:rPr>
            </w:pPr>
          </w:p>
        </w:tc>
        <w:tc>
          <w:tcPr>
            <w:tcW w:w="1179" w:type="dxa"/>
            <w:vAlign w:val="center"/>
          </w:tcPr>
          <w:p w14:paraId="3FB63328"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4BD54E49"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0BC3C960" w14:textId="77777777" w:rsidTr="00A35BE9">
        <w:tc>
          <w:tcPr>
            <w:tcW w:w="492" w:type="dxa"/>
            <w:shd w:val="clear" w:color="auto" w:fill="auto"/>
            <w:vAlign w:val="center"/>
          </w:tcPr>
          <w:p w14:paraId="33F04265" w14:textId="19287C47"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32FE23A" w14:textId="10F294AE" w:rsidR="007B10A4" w:rsidRPr="00A35BE9" w:rsidRDefault="007B10A4" w:rsidP="007B10A4">
            <w:pPr>
              <w:snapToGrid w:val="0"/>
              <w:rPr>
                <w:rFonts w:ascii="Calibri" w:hAnsi="Calibri" w:cs="Calibri"/>
                <w:sz w:val="18"/>
                <w:szCs w:val="18"/>
              </w:rPr>
            </w:pPr>
            <w:r w:rsidRPr="00115730">
              <w:rPr>
                <w:rFonts w:ascii="Calibri" w:hAnsi="Calibri" w:cs="Calibri"/>
                <w:sz w:val="20"/>
              </w:rPr>
              <w:t>WYMIENNE BUTELKI DO REGULATORÓW PRÓŻNI Z POZYCJI NR 1 I 2</w:t>
            </w:r>
          </w:p>
        </w:tc>
        <w:tc>
          <w:tcPr>
            <w:tcW w:w="709" w:type="dxa"/>
            <w:shd w:val="clear" w:color="auto" w:fill="auto"/>
            <w:vAlign w:val="center"/>
          </w:tcPr>
          <w:p w14:paraId="7F06941F" w14:textId="453E89F0"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3A6D6D49" w14:textId="0B3E94E8"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2</w:t>
            </w:r>
          </w:p>
        </w:tc>
        <w:tc>
          <w:tcPr>
            <w:tcW w:w="709" w:type="dxa"/>
            <w:shd w:val="clear" w:color="auto" w:fill="auto"/>
            <w:vAlign w:val="center"/>
          </w:tcPr>
          <w:p w14:paraId="13066576"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776F0E78"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7A8B110B"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4419D226"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2D9FDF16" w14:textId="77777777" w:rsidR="007B10A4" w:rsidRPr="00D8274E" w:rsidRDefault="007B10A4" w:rsidP="007B10A4">
            <w:pPr>
              <w:jc w:val="center"/>
              <w:rPr>
                <w:rFonts w:ascii="Calibri" w:hAnsi="Calibri" w:cs="Arial"/>
                <w:sz w:val="16"/>
                <w:szCs w:val="16"/>
              </w:rPr>
            </w:pPr>
          </w:p>
        </w:tc>
        <w:tc>
          <w:tcPr>
            <w:tcW w:w="1179" w:type="dxa"/>
            <w:vAlign w:val="center"/>
          </w:tcPr>
          <w:p w14:paraId="693E1C51"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0ED13AA7"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08D7A412" w14:textId="77777777" w:rsidTr="00A35BE9">
        <w:tc>
          <w:tcPr>
            <w:tcW w:w="492" w:type="dxa"/>
            <w:shd w:val="clear" w:color="auto" w:fill="auto"/>
            <w:vAlign w:val="center"/>
          </w:tcPr>
          <w:p w14:paraId="089FB54A" w14:textId="77777777" w:rsidR="007B10A4" w:rsidRDefault="007B10A4" w:rsidP="007B10A4">
            <w:pPr>
              <w:snapToGrid w:val="0"/>
              <w:rPr>
                <w:rFonts w:ascii="Calibri" w:hAnsi="Calibri" w:cs="Calibri"/>
                <w:color w:val="000000"/>
                <w:sz w:val="18"/>
                <w:szCs w:val="18"/>
              </w:rPr>
            </w:pPr>
          </w:p>
        </w:tc>
        <w:tc>
          <w:tcPr>
            <w:tcW w:w="2694" w:type="dxa"/>
            <w:shd w:val="clear" w:color="auto" w:fill="auto"/>
            <w:vAlign w:val="center"/>
          </w:tcPr>
          <w:p w14:paraId="71FA87AF" w14:textId="77777777" w:rsidR="007B10A4" w:rsidRPr="00785119" w:rsidRDefault="007B10A4" w:rsidP="007B10A4">
            <w:pPr>
              <w:pStyle w:val="Bezodstpw"/>
              <w:rPr>
                <w:sz w:val="18"/>
                <w:szCs w:val="18"/>
              </w:rPr>
            </w:pPr>
            <w:r w:rsidRPr="00785119">
              <w:rPr>
                <w:sz w:val="18"/>
                <w:szCs w:val="18"/>
              </w:rPr>
              <w:t>OGÓŁEM</w:t>
            </w:r>
          </w:p>
        </w:tc>
        <w:tc>
          <w:tcPr>
            <w:tcW w:w="709" w:type="dxa"/>
            <w:shd w:val="clear" w:color="auto" w:fill="auto"/>
            <w:vAlign w:val="center"/>
          </w:tcPr>
          <w:p w14:paraId="3334406F" w14:textId="77777777" w:rsidR="007B10A4" w:rsidRPr="006C6E64" w:rsidRDefault="007B10A4" w:rsidP="007B10A4">
            <w:pPr>
              <w:snapToGrid w:val="0"/>
              <w:rPr>
                <w:rFonts w:ascii="Calibri" w:hAnsi="Calibri" w:cs="Calibri"/>
                <w:color w:val="000000"/>
                <w:sz w:val="18"/>
                <w:szCs w:val="18"/>
              </w:rPr>
            </w:pPr>
          </w:p>
        </w:tc>
        <w:tc>
          <w:tcPr>
            <w:tcW w:w="567" w:type="dxa"/>
            <w:shd w:val="clear" w:color="auto" w:fill="auto"/>
            <w:vAlign w:val="center"/>
          </w:tcPr>
          <w:p w14:paraId="76989F8A" w14:textId="77777777" w:rsidR="007B10A4" w:rsidRPr="006C6E64" w:rsidRDefault="007B10A4" w:rsidP="007B10A4">
            <w:pPr>
              <w:snapToGrid w:val="0"/>
              <w:jc w:val="center"/>
              <w:rPr>
                <w:rFonts w:ascii="Calibri" w:hAnsi="Calibri" w:cs="Calibri"/>
                <w:color w:val="000000"/>
                <w:sz w:val="18"/>
                <w:szCs w:val="18"/>
              </w:rPr>
            </w:pPr>
          </w:p>
        </w:tc>
        <w:tc>
          <w:tcPr>
            <w:tcW w:w="709" w:type="dxa"/>
            <w:shd w:val="clear" w:color="auto" w:fill="auto"/>
            <w:vAlign w:val="center"/>
          </w:tcPr>
          <w:p w14:paraId="582D5A55" w14:textId="77777777" w:rsidR="007B10A4" w:rsidRPr="006C6E64" w:rsidRDefault="007B10A4" w:rsidP="007B10A4">
            <w:pPr>
              <w:snapToGrid w:val="0"/>
              <w:rPr>
                <w:rFonts w:ascii="Calibri" w:hAnsi="Calibri" w:cs="Calibri"/>
                <w:color w:val="000000"/>
                <w:sz w:val="18"/>
                <w:szCs w:val="18"/>
              </w:rPr>
            </w:pPr>
          </w:p>
        </w:tc>
        <w:tc>
          <w:tcPr>
            <w:tcW w:w="829" w:type="dxa"/>
            <w:shd w:val="clear" w:color="auto" w:fill="auto"/>
            <w:vAlign w:val="center"/>
          </w:tcPr>
          <w:p w14:paraId="5EEF499E" w14:textId="77777777" w:rsidR="007B10A4" w:rsidRPr="006C6E64" w:rsidRDefault="007B10A4" w:rsidP="007B10A4">
            <w:pPr>
              <w:snapToGrid w:val="0"/>
              <w:rPr>
                <w:rFonts w:ascii="Calibri" w:hAnsi="Calibri" w:cs="Calibri"/>
                <w:color w:val="000000"/>
                <w:sz w:val="18"/>
                <w:szCs w:val="18"/>
              </w:rPr>
            </w:pPr>
          </w:p>
        </w:tc>
        <w:tc>
          <w:tcPr>
            <w:tcW w:w="305" w:type="dxa"/>
            <w:shd w:val="clear" w:color="auto" w:fill="auto"/>
            <w:vAlign w:val="center"/>
          </w:tcPr>
          <w:p w14:paraId="1CE80AF7" w14:textId="77777777" w:rsidR="007B10A4" w:rsidRPr="006C6E64" w:rsidRDefault="007B10A4" w:rsidP="007B10A4">
            <w:pPr>
              <w:snapToGrid w:val="0"/>
              <w:rPr>
                <w:rFonts w:ascii="Calibri" w:hAnsi="Calibri" w:cs="Calibri"/>
                <w:color w:val="000000"/>
                <w:sz w:val="18"/>
                <w:szCs w:val="18"/>
              </w:rPr>
            </w:pPr>
          </w:p>
        </w:tc>
        <w:tc>
          <w:tcPr>
            <w:tcW w:w="922" w:type="dxa"/>
            <w:shd w:val="clear" w:color="auto" w:fill="auto"/>
            <w:vAlign w:val="center"/>
          </w:tcPr>
          <w:p w14:paraId="0CF97409" w14:textId="77777777" w:rsidR="007B10A4" w:rsidRPr="006C6E64" w:rsidRDefault="007B10A4" w:rsidP="007B10A4">
            <w:pPr>
              <w:snapToGrid w:val="0"/>
              <w:jc w:val="right"/>
              <w:rPr>
                <w:rFonts w:ascii="Calibri" w:hAnsi="Calibri" w:cs="Calibri"/>
                <w:bCs/>
                <w:color w:val="000000"/>
                <w:sz w:val="18"/>
                <w:szCs w:val="18"/>
              </w:rPr>
            </w:pPr>
          </w:p>
        </w:tc>
        <w:tc>
          <w:tcPr>
            <w:tcW w:w="1098" w:type="dxa"/>
            <w:shd w:val="clear" w:color="auto" w:fill="auto"/>
            <w:vAlign w:val="center"/>
          </w:tcPr>
          <w:p w14:paraId="58E529A0" w14:textId="77777777" w:rsidR="007B10A4" w:rsidRPr="006C6E64" w:rsidRDefault="007B10A4" w:rsidP="007B10A4">
            <w:pPr>
              <w:snapToGrid w:val="0"/>
              <w:rPr>
                <w:rFonts w:ascii="Calibri" w:hAnsi="Calibri" w:cs="Calibri"/>
                <w:color w:val="000000"/>
                <w:sz w:val="18"/>
                <w:szCs w:val="18"/>
              </w:rPr>
            </w:pPr>
          </w:p>
        </w:tc>
        <w:tc>
          <w:tcPr>
            <w:tcW w:w="1179" w:type="dxa"/>
            <w:vAlign w:val="center"/>
          </w:tcPr>
          <w:p w14:paraId="6A7ACD58" w14:textId="77777777" w:rsidR="007B10A4" w:rsidRPr="006C6E64" w:rsidRDefault="007B10A4" w:rsidP="007B10A4">
            <w:pPr>
              <w:snapToGrid w:val="0"/>
              <w:jc w:val="center"/>
              <w:rPr>
                <w:rFonts w:ascii="Calibri" w:hAnsi="Calibri" w:cs="Calibri"/>
                <w:color w:val="000000"/>
                <w:sz w:val="18"/>
                <w:szCs w:val="18"/>
              </w:rPr>
            </w:pPr>
          </w:p>
        </w:tc>
        <w:tc>
          <w:tcPr>
            <w:tcW w:w="979" w:type="dxa"/>
            <w:shd w:val="clear" w:color="auto" w:fill="auto"/>
            <w:vAlign w:val="center"/>
          </w:tcPr>
          <w:p w14:paraId="04248A3B" w14:textId="77777777" w:rsidR="007B10A4" w:rsidRPr="006C6E64" w:rsidRDefault="007B10A4" w:rsidP="007B10A4">
            <w:pPr>
              <w:snapToGrid w:val="0"/>
              <w:jc w:val="center"/>
              <w:rPr>
                <w:rFonts w:ascii="Calibri" w:hAnsi="Calibri" w:cs="Calibri"/>
                <w:color w:val="000000"/>
                <w:sz w:val="18"/>
                <w:szCs w:val="18"/>
              </w:rPr>
            </w:pPr>
          </w:p>
        </w:tc>
      </w:tr>
    </w:tbl>
    <w:p w14:paraId="25F41342" w14:textId="12052DF0"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347FBC92"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1872C3">
        <w:rPr>
          <w:rFonts w:asciiTheme="minorHAnsi" w:hAnsiTheme="minorHAnsi" w:cstheme="minorHAnsi"/>
          <w:sz w:val="18"/>
          <w:szCs w:val="18"/>
        </w:rPr>
        <w:t>SSM.DZP.200.97.2022</w:t>
      </w:r>
      <w:r w:rsidR="00A35BE9">
        <w:rPr>
          <w:rFonts w:asciiTheme="minorHAnsi" w:hAnsiTheme="minorHAnsi" w:cstheme="minorHAnsi"/>
          <w:sz w:val="18"/>
          <w:szCs w:val="18"/>
        </w:rPr>
        <w:t>/….</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3DF425B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reprezentowanym </w:t>
      </w:r>
      <w:proofErr w:type="spellStart"/>
      <w:r w:rsidRPr="005F59D1">
        <w:rPr>
          <w:rFonts w:asciiTheme="minorHAnsi" w:hAnsiTheme="minorHAnsi" w:cstheme="minorHAnsi"/>
          <w:sz w:val="18"/>
          <w:szCs w:val="18"/>
        </w:rPr>
        <w:t>przez:mgr</w:t>
      </w:r>
      <w:proofErr w:type="spellEnd"/>
      <w:r w:rsidRPr="005F59D1">
        <w:rPr>
          <w:rFonts w:asciiTheme="minorHAnsi" w:hAnsiTheme="minorHAnsi" w:cstheme="minorHAnsi"/>
          <w:sz w:val="18"/>
          <w:szCs w:val="18"/>
        </w:rPr>
        <w:t xml:space="preserve">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51E51FEE"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1872C3">
        <w:rPr>
          <w:rFonts w:asciiTheme="minorHAnsi" w:eastAsia="Batang" w:hAnsiTheme="minorHAnsi" w:cstheme="minorHAnsi"/>
          <w:b w:val="0"/>
          <w:bCs w:val="0"/>
          <w:i w:val="0"/>
          <w:iCs w:val="0"/>
          <w:color w:val="auto"/>
          <w:sz w:val="18"/>
          <w:szCs w:val="18"/>
        </w:rPr>
        <w:t xml:space="preserve">sterylnej wody </w:t>
      </w:r>
      <w:proofErr w:type="spellStart"/>
      <w:r w:rsidR="001872C3">
        <w:rPr>
          <w:rFonts w:asciiTheme="minorHAnsi" w:eastAsia="Batang" w:hAnsiTheme="minorHAnsi" w:cstheme="minorHAnsi"/>
          <w:b w:val="0"/>
          <w:bCs w:val="0"/>
          <w:i w:val="0"/>
          <w:iCs w:val="0"/>
          <w:color w:val="auto"/>
          <w:sz w:val="18"/>
          <w:szCs w:val="18"/>
        </w:rPr>
        <w:t>apirogennej</w:t>
      </w:r>
      <w:proofErr w:type="spellEnd"/>
      <w:r w:rsidR="001872C3">
        <w:rPr>
          <w:rFonts w:asciiTheme="minorHAnsi" w:eastAsia="Batang" w:hAnsiTheme="minorHAnsi" w:cstheme="minorHAnsi"/>
          <w:b w:val="0"/>
          <w:bCs w:val="0"/>
          <w:i w:val="0"/>
          <w:iCs w:val="0"/>
          <w:color w:val="auto"/>
          <w:sz w:val="18"/>
          <w:szCs w:val="18"/>
        </w:rPr>
        <w:t xml:space="preserve"> z osprzętem do terapii tlenowej oraz regulatorów próżni </w:t>
      </w:r>
      <w:r w:rsidRPr="005F59D1">
        <w:rPr>
          <w:rFonts w:asciiTheme="minorHAnsi" w:eastAsia="Batang" w:hAnsiTheme="minorHAnsi" w:cstheme="minorHAnsi"/>
          <w:b w:val="0"/>
          <w:bCs w:val="0"/>
          <w:i w:val="0"/>
          <w:iCs w:val="0"/>
          <w:color w:val="auto"/>
          <w:sz w:val="18"/>
          <w:szCs w:val="18"/>
        </w:rPr>
        <w:t xml:space="preserve"> </w:t>
      </w:r>
      <w:r w:rsidR="005A5A7E">
        <w:rPr>
          <w:rFonts w:asciiTheme="minorHAnsi" w:eastAsia="Batang" w:hAnsiTheme="minorHAnsi" w:cstheme="minorHAnsi"/>
          <w:b w:val="0"/>
          <w:bCs w:val="0"/>
          <w:i w:val="0"/>
          <w:iCs w:val="0"/>
          <w:color w:val="auto"/>
          <w:sz w:val="18"/>
          <w:szCs w:val="18"/>
        </w:rPr>
        <w:t xml:space="preserve">w zadaniu nr ….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456EE2C4"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1872C3">
        <w:rPr>
          <w:rFonts w:asciiTheme="minorHAnsi" w:eastAsia="Batang" w:hAnsiTheme="minorHAnsi" w:cstheme="minorHAnsi"/>
          <w:sz w:val="18"/>
          <w:szCs w:val="18"/>
        </w:rPr>
        <w:t xml:space="preserve">sterylnej wody </w:t>
      </w:r>
      <w:proofErr w:type="spellStart"/>
      <w:r w:rsidR="001872C3">
        <w:rPr>
          <w:rFonts w:asciiTheme="minorHAnsi" w:eastAsia="Batang" w:hAnsiTheme="minorHAnsi" w:cstheme="minorHAnsi"/>
          <w:sz w:val="18"/>
          <w:szCs w:val="18"/>
        </w:rPr>
        <w:t>apirogennej</w:t>
      </w:r>
      <w:proofErr w:type="spellEnd"/>
      <w:r w:rsidR="001872C3">
        <w:rPr>
          <w:rFonts w:asciiTheme="minorHAnsi" w:eastAsia="Batang" w:hAnsiTheme="minorHAnsi" w:cstheme="minorHAnsi"/>
          <w:sz w:val="18"/>
          <w:szCs w:val="18"/>
        </w:rPr>
        <w:t xml:space="preserve"> z osprzętem do terapii tlenowej oraz regulatorów próżni </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480D16EB" w14:textId="2AD078D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5. W celu zawarcia aneksu, o którym mowa w ust. 1, w terminie 30 dni od dnia wejścia w życie przepisów prawa wprowadzających zmiany, o których mowa w ust. 1 pkt. 1-4, każda ze Stron może wystąpić do drugiej Strony z pisemnym </w:t>
      </w:r>
      <w:r w:rsidRPr="005F59D1">
        <w:rPr>
          <w:rFonts w:asciiTheme="minorHAnsi" w:hAnsiTheme="minorHAnsi" w:cstheme="minorHAnsi"/>
          <w:sz w:val="18"/>
          <w:szCs w:val="18"/>
        </w:rPr>
        <w:lastRenderedPageBreak/>
        <w:t>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6B7068" w14:textId="77777777" w:rsidR="00D253FD" w:rsidRPr="005F59D1" w:rsidRDefault="00D253FD" w:rsidP="00D253FD">
      <w:pPr>
        <w:jc w:val="both"/>
        <w:rPr>
          <w:rFonts w:asciiTheme="minorHAnsi" w:hAnsiTheme="minorHAnsi" w:cstheme="minorHAnsi"/>
          <w:sz w:val="18"/>
          <w:szCs w:val="18"/>
        </w:rPr>
      </w:pP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67ACE0D9"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1872C3">
        <w:rPr>
          <w:rFonts w:asciiTheme="minorHAnsi" w:hAnsiTheme="minorHAnsi" w:cstheme="minorHAnsi"/>
          <w:color w:val="000000"/>
          <w:sz w:val="18"/>
          <w:szCs w:val="18"/>
          <w:lang w:val="pl-PL"/>
        </w:rPr>
        <w:t>SSM.DZP.200.97.2022</w:t>
      </w:r>
      <w:r w:rsidR="005A5A7E">
        <w:rPr>
          <w:rFonts w:asciiTheme="minorHAnsi" w:hAnsiTheme="minorHAnsi" w:cstheme="minorHAnsi"/>
          <w:color w:val="000000"/>
          <w:sz w:val="18"/>
          <w:szCs w:val="18"/>
          <w:lang w:val="pl-PL"/>
        </w:rPr>
        <w:t>/..</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63774731"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1872C3">
        <w:rPr>
          <w:rFonts w:ascii="Sylfaen" w:hAnsi="Sylfaen" w:cs="Calibri"/>
          <w:sz w:val="21"/>
          <w:szCs w:val="21"/>
        </w:rPr>
        <w:t>SSM.DZP.200.97.2022</w:t>
      </w:r>
      <w:r w:rsidR="005A5A7E">
        <w:rPr>
          <w:rFonts w:ascii="Sylfaen" w:hAnsi="Sylfaen" w:cs="Calibri"/>
          <w:sz w:val="21"/>
          <w:szCs w:val="21"/>
        </w:rPr>
        <w:t>/….</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047C6BE9" w:rsidR="00B42103" w:rsidRDefault="005A5A7E" w:rsidP="00B42103">
      <w:pPr>
        <w:pStyle w:val="Zwykytekst"/>
        <w:rPr>
          <w:rFonts w:ascii="Times New Roman" w:hAnsi="Times New Roman"/>
          <w:lang w:val="pl-PL"/>
        </w:rPr>
      </w:pPr>
      <w:r>
        <w:rPr>
          <w:rFonts w:ascii="Times New Roman" w:hAnsi="Times New Roman"/>
          <w:lang w:val="pl-PL"/>
        </w:rPr>
        <w:t>ZADANIE NR …………………………………………………………………………………………………</w:t>
      </w: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65A83F18"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w:t>
      </w:r>
      <w:r w:rsidR="00981862">
        <w:rPr>
          <w:rFonts w:ascii="Times New Roman" w:hAnsi="Times New Roman"/>
          <w:sz w:val="16"/>
          <w:szCs w:val="16"/>
          <w:lang w:val="pl-PL"/>
        </w:rPr>
        <w:t>i</w:t>
      </w:r>
      <w:proofErr w:type="spellEnd"/>
      <w:r w:rsidR="00981862">
        <w:rPr>
          <w:rFonts w:ascii="Times New Roman" w:hAnsi="Times New Roman"/>
          <w:sz w:val="16"/>
          <w:szCs w:val="16"/>
          <w:lang w:val="pl-PL"/>
        </w:rPr>
        <w:t xml:space="preserve">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7BCD22FB"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1872C3">
        <w:rPr>
          <w:rFonts w:ascii="Sylfaen" w:hAnsi="Sylfaen"/>
          <w:b/>
          <w:sz w:val="22"/>
          <w:szCs w:val="22"/>
        </w:rPr>
        <w:t>SSM.DZP.200.97.2022</w:t>
      </w:r>
      <w:r>
        <w:rPr>
          <w:rFonts w:ascii="Sylfaen" w:hAnsi="Sylfaen"/>
          <w:b/>
          <w:sz w:val="22"/>
          <w:szCs w:val="22"/>
        </w:rPr>
        <w:t>:</w:t>
      </w:r>
    </w:p>
    <w:p w14:paraId="39F673EF" w14:textId="3B6BAE3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872C3">
        <w:rPr>
          <w:rFonts w:ascii="Sylfaen" w:hAnsi="Sylfaen"/>
          <w:b/>
          <w:sz w:val="22"/>
          <w:szCs w:val="22"/>
        </w:rPr>
        <w:t xml:space="preserve">sterylnej wody </w:t>
      </w:r>
      <w:proofErr w:type="spellStart"/>
      <w:r w:rsidR="001872C3">
        <w:rPr>
          <w:rFonts w:ascii="Sylfaen" w:hAnsi="Sylfaen"/>
          <w:b/>
          <w:sz w:val="22"/>
          <w:szCs w:val="22"/>
        </w:rPr>
        <w:t>apirogennej</w:t>
      </w:r>
      <w:proofErr w:type="spellEnd"/>
      <w:r w:rsidR="001872C3">
        <w:rPr>
          <w:rFonts w:ascii="Sylfaen" w:hAnsi="Sylfaen"/>
          <w:b/>
          <w:sz w:val="22"/>
          <w:szCs w:val="22"/>
        </w:rPr>
        <w:t xml:space="preserve"> z osprzętem do terapii tlenowej oraz regulatorów próżni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027813FE"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1872C3">
        <w:rPr>
          <w:rFonts w:ascii="Sylfaen" w:hAnsi="Sylfaen"/>
          <w:b/>
          <w:sz w:val="22"/>
          <w:szCs w:val="22"/>
        </w:rPr>
        <w:t>SSM.DZP.200.97.2022</w:t>
      </w:r>
      <w:r>
        <w:rPr>
          <w:rFonts w:ascii="Sylfaen" w:hAnsi="Sylfaen"/>
          <w:b/>
          <w:sz w:val="22"/>
          <w:szCs w:val="22"/>
        </w:rPr>
        <w:t>:</w:t>
      </w:r>
    </w:p>
    <w:p w14:paraId="78F1FBCA" w14:textId="6350DA7B"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872C3">
        <w:rPr>
          <w:rFonts w:ascii="Sylfaen" w:hAnsi="Sylfaen"/>
          <w:b/>
          <w:iCs/>
          <w:sz w:val="22"/>
          <w:szCs w:val="22"/>
        </w:rPr>
        <w:t xml:space="preserve">sterylnej wody </w:t>
      </w:r>
      <w:proofErr w:type="spellStart"/>
      <w:r w:rsidR="001872C3">
        <w:rPr>
          <w:rFonts w:ascii="Sylfaen" w:hAnsi="Sylfaen"/>
          <w:b/>
          <w:iCs/>
          <w:sz w:val="22"/>
          <w:szCs w:val="22"/>
        </w:rPr>
        <w:t>apirogennej</w:t>
      </w:r>
      <w:proofErr w:type="spellEnd"/>
      <w:r w:rsidR="001872C3">
        <w:rPr>
          <w:rFonts w:ascii="Sylfaen" w:hAnsi="Sylfaen"/>
          <w:b/>
          <w:iCs/>
          <w:sz w:val="22"/>
          <w:szCs w:val="22"/>
        </w:rPr>
        <w:t xml:space="preserve"> z osprzętem do terapii tlenowej oraz regulatorów próżni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A2DB" w14:textId="77777777" w:rsidR="00C5590A" w:rsidRDefault="00C5590A" w:rsidP="00AC6C48">
      <w:r>
        <w:separator/>
      </w:r>
    </w:p>
  </w:endnote>
  <w:endnote w:type="continuationSeparator" w:id="0">
    <w:p w14:paraId="0305A3C5" w14:textId="77777777" w:rsidR="00C5590A" w:rsidRDefault="00C5590A"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FE6A" w14:textId="77777777" w:rsidR="00C5590A" w:rsidRDefault="00C5590A" w:rsidP="00AC6C48">
      <w:r>
        <w:separator/>
      </w:r>
    </w:p>
  </w:footnote>
  <w:footnote w:type="continuationSeparator" w:id="0">
    <w:p w14:paraId="165F6FEB" w14:textId="77777777" w:rsidR="00C5590A" w:rsidRDefault="00C5590A"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4DC0"/>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177CB"/>
    <w:rsid w:val="00521C3D"/>
    <w:rsid w:val="00575608"/>
    <w:rsid w:val="00580282"/>
    <w:rsid w:val="0058095F"/>
    <w:rsid w:val="00586A8F"/>
    <w:rsid w:val="00593121"/>
    <w:rsid w:val="005A5A7E"/>
    <w:rsid w:val="005B2D79"/>
    <w:rsid w:val="005D7300"/>
    <w:rsid w:val="005E3D38"/>
    <w:rsid w:val="005F0CB9"/>
    <w:rsid w:val="005F59D1"/>
    <w:rsid w:val="00615CED"/>
    <w:rsid w:val="00641A8F"/>
    <w:rsid w:val="006445A3"/>
    <w:rsid w:val="00661A66"/>
    <w:rsid w:val="00661C1A"/>
    <w:rsid w:val="0066534C"/>
    <w:rsid w:val="0067249A"/>
    <w:rsid w:val="006761E2"/>
    <w:rsid w:val="006A73B1"/>
    <w:rsid w:val="006B0C8F"/>
    <w:rsid w:val="006B2A2D"/>
    <w:rsid w:val="006F2291"/>
    <w:rsid w:val="006F298F"/>
    <w:rsid w:val="00701F97"/>
    <w:rsid w:val="00702F53"/>
    <w:rsid w:val="00731BED"/>
    <w:rsid w:val="00736082"/>
    <w:rsid w:val="00785119"/>
    <w:rsid w:val="007B062A"/>
    <w:rsid w:val="007B10A4"/>
    <w:rsid w:val="007B6AEF"/>
    <w:rsid w:val="007C07F9"/>
    <w:rsid w:val="007C30AB"/>
    <w:rsid w:val="00800805"/>
    <w:rsid w:val="0080497C"/>
    <w:rsid w:val="00820402"/>
    <w:rsid w:val="00822C99"/>
    <w:rsid w:val="008633AD"/>
    <w:rsid w:val="008830CE"/>
    <w:rsid w:val="00885DEB"/>
    <w:rsid w:val="00886DC6"/>
    <w:rsid w:val="008B3374"/>
    <w:rsid w:val="008B75B1"/>
    <w:rsid w:val="008C3253"/>
    <w:rsid w:val="008E6029"/>
    <w:rsid w:val="008E62FB"/>
    <w:rsid w:val="008E6501"/>
    <w:rsid w:val="008F0AEC"/>
    <w:rsid w:val="008F58C4"/>
    <w:rsid w:val="0090708B"/>
    <w:rsid w:val="00912B06"/>
    <w:rsid w:val="00933366"/>
    <w:rsid w:val="009470ED"/>
    <w:rsid w:val="00952450"/>
    <w:rsid w:val="00963BC1"/>
    <w:rsid w:val="00981862"/>
    <w:rsid w:val="00981DC8"/>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B1611D"/>
    <w:rsid w:val="00B42103"/>
    <w:rsid w:val="00B520F4"/>
    <w:rsid w:val="00B521D9"/>
    <w:rsid w:val="00B5594A"/>
    <w:rsid w:val="00B62231"/>
    <w:rsid w:val="00B71664"/>
    <w:rsid w:val="00B776DA"/>
    <w:rsid w:val="00BE51C4"/>
    <w:rsid w:val="00BF2808"/>
    <w:rsid w:val="00C22BF5"/>
    <w:rsid w:val="00C2468C"/>
    <w:rsid w:val="00C36913"/>
    <w:rsid w:val="00C46DF7"/>
    <w:rsid w:val="00C5590A"/>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A3E22"/>
    <w:rsid w:val="00EB18EA"/>
    <w:rsid w:val="00ED1824"/>
    <w:rsid w:val="00EF151C"/>
    <w:rsid w:val="00F144AF"/>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cd2d5ffd-74f5-49bf-911e-ae6980575c5c"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004"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24</Pages>
  <Words>13545</Words>
  <Characters>81275</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27</cp:revision>
  <cp:lastPrinted>2022-05-26T10:47:00Z</cp:lastPrinted>
  <dcterms:created xsi:type="dcterms:W3CDTF">2022-01-26T12:09:00Z</dcterms:created>
  <dcterms:modified xsi:type="dcterms:W3CDTF">2022-05-26T11:10:00Z</dcterms:modified>
</cp:coreProperties>
</file>