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15F3DF1C" w:rsidR="00D03286" w:rsidRPr="00F4400B" w:rsidRDefault="00D03286" w:rsidP="00D03286">
      <w:pPr>
        <w:jc w:val="right"/>
        <w:rPr>
          <w:rFonts w:ascii="Sylfaen" w:hAnsi="Sylfaen" w:cstheme="minorHAnsi"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Toruń, dn.</w:t>
      </w:r>
      <w:r w:rsidR="00181B2A"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3</w:t>
      </w:r>
      <w:r w:rsidR="00FB32BE">
        <w:rPr>
          <w:rFonts w:ascii="Sylfaen" w:hAnsi="Sylfaen" w:cstheme="minorHAnsi"/>
          <w:color w:val="000000" w:themeColor="text1"/>
          <w:sz w:val="20"/>
          <w:szCs w:val="20"/>
        </w:rPr>
        <w:t xml:space="preserve"> listopada 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2022 r.</w:t>
      </w:r>
    </w:p>
    <w:p w14:paraId="161BE616" w14:textId="5C22A430" w:rsidR="00D03286" w:rsidRPr="00F4400B" w:rsidRDefault="00D03286" w:rsidP="00D03286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iCs/>
          <w:color w:val="000000" w:themeColor="text1"/>
          <w:sz w:val="20"/>
          <w:szCs w:val="20"/>
        </w:rPr>
        <w:t>L.dz. SSM.DZP.200.</w:t>
      </w:r>
      <w:r w:rsidR="00FD6EC1" w:rsidRPr="00F4400B">
        <w:rPr>
          <w:rFonts w:ascii="Sylfaen" w:hAnsi="Sylfaen" w:cstheme="minorHAnsi"/>
          <w:iCs/>
          <w:color w:val="000000" w:themeColor="text1"/>
          <w:sz w:val="20"/>
          <w:szCs w:val="20"/>
        </w:rPr>
        <w:t>1</w:t>
      </w:r>
      <w:r w:rsidR="00FB32BE">
        <w:rPr>
          <w:rFonts w:ascii="Sylfaen" w:hAnsi="Sylfaen" w:cstheme="minorHAnsi"/>
          <w:iCs/>
          <w:color w:val="000000" w:themeColor="text1"/>
          <w:sz w:val="20"/>
          <w:szCs w:val="20"/>
        </w:rPr>
        <w:t>82</w:t>
      </w:r>
      <w:r w:rsidRPr="00F4400B">
        <w:rPr>
          <w:rFonts w:ascii="Sylfaen" w:hAnsi="Sylfaen" w:cstheme="minorHAnsi"/>
          <w:iCs/>
          <w:color w:val="000000" w:themeColor="text1"/>
          <w:sz w:val="20"/>
          <w:szCs w:val="20"/>
        </w:rPr>
        <w:t>.2022</w:t>
      </w:r>
    </w:p>
    <w:p w14:paraId="66C2B969" w14:textId="77777777" w:rsidR="00606226" w:rsidRPr="00F4400B" w:rsidRDefault="00606226" w:rsidP="00D03286">
      <w:pPr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179482B4" w14:textId="7283C0ED" w:rsidR="00EB70CD" w:rsidRPr="00F4400B" w:rsidRDefault="00D03286" w:rsidP="00D03286">
      <w:pPr>
        <w:pStyle w:val="Nagwek4"/>
        <w:rPr>
          <w:rFonts w:ascii="Sylfaen" w:hAnsi="Sylfaen" w:cstheme="minorHAnsi"/>
          <w:b w:val="0"/>
          <w:color w:val="000000" w:themeColor="text1"/>
          <w:u w:val="single"/>
        </w:rPr>
      </w:pPr>
      <w:r w:rsidRPr="00F4400B">
        <w:rPr>
          <w:rFonts w:ascii="Sylfaen" w:hAnsi="Sylfaen" w:cstheme="minorHAnsi"/>
          <w:b w:val="0"/>
          <w:color w:val="000000" w:themeColor="text1"/>
          <w:u w:val="single"/>
        </w:rPr>
        <w:t>dotyczy: postępowania o udzielenie zamówienia publiczne w trybie</w:t>
      </w:r>
      <w:r w:rsidR="00181B2A" w:rsidRPr="00F4400B">
        <w:rPr>
          <w:rFonts w:ascii="Sylfaen" w:hAnsi="Sylfaen" w:cstheme="minorHAnsi"/>
          <w:b w:val="0"/>
          <w:color w:val="000000" w:themeColor="text1"/>
          <w:u w:val="single"/>
        </w:rPr>
        <w:t xml:space="preserve"> przetargu nieograniczonego </w:t>
      </w:r>
      <w:r w:rsidRPr="00F4400B">
        <w:rPr>
          <w:rFonts w:ascii="Sylfaen" w:hAnsi="Sylfaen" w:cstheme="minorHAnsi"/>
          <w:b w:val="0"/>
          <w:color w:val="000000" w:themeColor="text1"/>
          <w:u w:val="single"/>
        </w:rPr>
        <w:t>na dostawę</w:t>
      </w:r>
      <w:r w:rsidR="00181B2A" w:rsidRPr="00F4400B">
        <w:rPr>
          <w:rFonts w:ascii="Sylfaen" w:hAnsi="Sylfaen" w:cstheme="minorHAnsi"/>
          <w:b w:val="0"/>
          <w:color w:val="000000" w:themeColor="text1"/>
          <w:u w:val="single"/>
        </w:rPr>
        <w:t xml:space="preserve"> </w:t>
      </w:r>
      <w:r w:rsidR="00FB32BE">
        <w:rPr>
          <w:rFonts w:ascii="Sylfaen" w:hAnsi="Sylfaen" w:cstheme="minorHAnsi"/>
          <w:b w:val="0"/>
          <w:color w:val="000000" w:themeColor="text1"/>
          <w:u w:val="single"/>
        </w:rPr>
        <w:t>sprzętu do dializ.</w:t>
      </w:r>
    </w:p>
    <w:p w14:paraId="75CBF7BA" w14:textId="77777777" w:rsidR="00606226" w:rsidRPr="00F4400B" w:rsidRDefault="00606226" w:rsidP="00D03286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8DBE1E" w14:textId="60C24422" w:rsidR="00D03286" w:rsidRPr="00F4400B" w:rsidRDefault="00D03286" w:rsidP="00D03286">
      <w:pPr>
        <w:ind w:firstLine="708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W związku ze skierowanym</w:t>
      </w:r>
      <w:r w:rsidR="00181B2A" w:rsidRPr="00F4400B">
        <w:rPr>
          <w:rFonts w:ascii="Sylfaen" w:hAnsi="Sylfaen" w:cstheme="minorHAnsi"/>
          <w:color w:val="000000" w:themeColor="text1"/>
          <w:sz w:val="20"/>
          <w:szCs w:val="20"/>
        </w:rPr>
        <w:t>i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przez Wykonawc</w:t>
      </w:r>
      <w:r w:rsidR="00FB32BE">
        <w:rPr>
          <w:rFonts w:ascii="Sylfaen" w:hAnsi="Sylfaen" w:cstheme="minorHAnsi"/>
          <w:color w:val="000000" w:themeColor="text1"/>
          <w:sz w:val="20"/>
          <w:szCs w:val="20"/>
        </w:rPr>
        <w:t xml:space="preserve">ę w dniu 31.10.2022 </w:t>
      </w:r>
      <w:r w:rsidR="00963346" w:rsidRPr="00F4400B">
        <w:rPr>
          <w:rFonts w:ascii="Sylfaen" w:hAnsi="Sylfaen" w:cstheme="minorHAnsi"/>
          <w:color w:val="000000" w:themeColor="text1"/>
          <w:sz w:val="20"/>
          <w:szCs w:val="20"/>
        </w:rPr>
        <w:t>r.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pytani</w:t>
      </w:r>
      <w:r w:rsidR="00181B2A"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ami 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do SWZ Specjalistyczny Szpital Miejski im. M. Kopernika w Toruniu informuje o</w:t>
      </w:r>
      <w:r w:rsidR="00FD6EC1"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181B2A"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ich </w:t>
      </w:r>
      <w:r w:rsidR="00FD6EC1"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treści i udzielonej na nie odpowiedzi.</w:t>
      </w:r>
    </w:p>
    <w:p w14:paraId="5A0FA4CE" w14:textId="77777777" w:rsidR="009E0ABC" w:rsidRPr="009E0ABC" w:rsidRDefault="009E0ABC" w:rsidP="009E0ABC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szCs w:val="20"/>
        </w:rPr>
      </w:pPr>
      <w:r w:rsidRPr="009E0ABC">
        <w:rPr>
          <w:rFonts w:ascii="Sylfaen" w:hAnsi="Sylfaen" w:cs="Sylfaen"/>
          <w:color w:val="000000"/>
          <w:sz w:val="20"/>
          <w:szCs w:val="20"/>
        </w:rPr>
        <w:t xml:space="preserve"> </w:t>
      </w:r>
    </w:p>
    <w:p w14:paraId="7725CDC5" w14:textId="290F2670" w:rsidR="009E0ABC" w:rsidRPr="00F4400B" w:rsidRDefault="009E0ABC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050CFDC9" w14:textId="701FF054" w:rsidR="00FB32BE" w:rsidRP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1.</w:t>
      </w:r>
      <w:r w:rsidR="00446808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Dotyczy załącznik nr 1 formularz cenowy zadanie nr 1 pozycja nr 1:</w:t>
      </w:r>
    </w:p>
    <w:p w14:paraId="27C43291" w14:textId="77777777" w:rsidR="00FB32BE" w:rsidRP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W związku z podaniem przez Zamawiającego wzorcowego produktu o numerze katalogowym F00008107 wnosimy o korektę opisu produktu, gdyż jest on produkowany w formie jednokomorowej z jednym portem podłączeniowym typu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SecuNect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, umożliwiającym bezpośrednie podłączenie do zestawów opisanych przez Zamawiającego  w zadaniu nr 2 w pozycjach 8, 9 oraz 10. </w:t>
      </w:r>
    </w:p>
    <w:p w14:paraId="2CD4ABC9" w14:textId="77777777" w:rsidR="00FB32BE" w:rsidRP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W załączeniu ulotka informacyjna 4%Cytrynianu Sodu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SecuNect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[nr kat. F00008107]</w:t>
      </w:r>
    </w:p>
    <w:p w14:paraId="75CEFFF4" w14:textId="59FC553B" w:rsid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405EA6E1" w14:textId="6F68DFEF" w:rsid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Patrz modyfikacja SWZ.</w:t>
      </w:r>
    </w:p>
    <w:p w14:paraId="5627CEE3" w14:textId="5038CC6E" w:rsid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703AE4E8" w14:textId="77777777" w:rsidR="00FB32BE" w:rsidRPr="00F4400B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213E2DDA" w14:textId="3CA5DF33" w:rsidR="00FB32BE" w:rsidRP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2.</w:t>
      </w:r>
      <w:r w:rsidR="00446808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Dotyczy załącznik nr 1 formularz cenowy zadanie nr 2 pozycja nr 20:</w:t>
      </w:r>
    </w:p>
    <w:p w14:paraId="0CB86E7B" w14:textId="565A587D" w:rsidR="00E73A51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W związku z oferowaniem w pozycjach nr 8, 9, 10 oryginalnych zestawów terapeutycznych do terapii z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antykoagulacją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cytrynianową na aparatach typu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MultiFiltrate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posiadających dedykowane przyłącza cytrynianu sodu i chlorku wapnia (typu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SecuNect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) zgodne z oferowanymi workami, co wiąże się z brakiem konieczności stosowania dodatkowych adapterów a przez to zmniejszeniem pracochłonności i kosztów zabiegu, prosimy Zamawiającego o dopuszczenie do złożenia oferty w powyższym zadaniu bez wyceny pozycji nr 20.</w:t>
      </w:r>
    </w:p>
    <w:p w14:paraId="0156E778" w14:textId="77777777" w:rsid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5683E0F5" w14:textId="0F55BBD9" w:rsid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Zamawiający dopuszcza pod warunkiem zaoferowania w poz. 8, 9, 10  oryginalnych zestawów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terapeutycznych do terapii z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antykoagulacją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cytrynianową na aparatach typu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MultiFiltrate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posiadających dedykowane przyłącza cytrynianu sodu i chlorku wapnia zgodne z oferowanymi workami, co oznacza możliwość połączenia zestawów z workami bezpośrednio i bez konieczności stosowania dodatkowych adapterów</w:t>
      </w:r>
      <w:r w:rsidR="00827B55">
        <w:rPr>
          <w:rFonts w:ascii="Sylfaen" w:hAnsi="Sylfaen" w:cs="Calibri"/>
          <w:bCs/>
          <w:color w:val="000000" w:themeColor="text1"/>
          <w:sz w:val="20"/>
          <w:szCs w:val="20"/>
        </w:rPr>
        <w:t>.</w:t>
      </w:r>
    </w:p>
    <w:p w14:paraId="3ECF16BB" w14:textId="77777777" w:rsidR="00FB32BE" w:rsidRPr="00F4400B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3E7B226C" w14:textId="36220FBE" w:rsidR="00446808" w:rsidRDefault="00943ADF" w:rsidP="00446808">
      <w:pPr>
        <w:ind w:firstLine="708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Na podstawie art. 137 ust. 1  prawo zamówień publicznych Zamawiający modyfikuje treść SWZ w taki sposób, że </w:t>
      </w:r>
      <w:r w:rsidR="00DD1417">
        <w:rPr>
          <w:rFonts w:ascii="Sylfaen" w:hAnsi="Sylfaen" w:cs="Calibri"/>
          <w:bCs/>
          <w:color w:val="000000" w:themeColor="text1"/>
          <w:sz w:val="20"/>
          <w:szCs w:val="20"/>
        </w:rPr>
        <w:t xml:space="preserve">w załączniku nr 1 do SWZ </w:t>
      </w: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wykreśla zapis o następującej treści: </w:t>
      </w:r>
    </w:p>
    <w:p w14:paraId="47EB8A03" w14:textId="77777777" w:rsidR="00446808" w:rsidRDefault="00943AD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„ </w:t>
      </w:r>
    </w:p>
    <w:p w14:paraId="13CB98AB" w14:textId="77777777" w:rsidR="00827B55" w:rsidRPr="00827B55" w:rsidRDefault="00827B55" w:rsidP="00827B55">
      <w:pPr>
        <w:rPr>
          <w:iCs/>
          <w:sz w:val="16"/>
          <w:szCs w:val="16"/>
        </w:rPr>
      </w:pPr>
      <w:r w:rsidRPr="00827B55">
        <w:rPr>
          <w:iCs/>
          <w:sz w:val="16"/>
          <w:szCs w:val="16"/>
        </w:rPr>
        <w:t>ZADANIE NR 1 – CYTRYNIAN I DIALIZATY</w:t>
      </w:r>
    </w:p>
    <w:p w14:paraId="04AC8981" w14:textId="77777777" w:rsidR="00827B55" w:rsidRDefault="00827B55" w:rsidP="00827B55">
      <w:pPr>
        <w:suppressAutoHyphens/>
        <w:rPr>
          <w:rFonts w:eastAsia="Batang"/>
          <w:b/>
          <w:bCs/>
          <w:kern w:val="2"/>
          <w:sz w:val="18"/>
          <w:szCs w:val="18"/>
          <w:lang w:eastAsia="ar-SA"/>
        </w:rPr>
      </w:pPr>
    </w:p>
    <w:tbl>
      <w:tblPr>
        <w:tblW w:w="106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708"/>
        <w:gridCol w:w="709"/>
        <w:gridCol w:w="829"/>
        <w:gridCol w:w="305"/>
        <w:gridCol w:w="922"/>
        <w:gridCol w:w="1098"/>
        <w:gridCol w:w="1179"/>
        <w:gridCol w:w="979"/>
      </w:tblGrid>
      <w:tr w:rsidR="00827B55" w:rsidRPr="00827B55" w14:paraId="78D08F6A" w14:textId="77777777" w:rsidTr="002B24FF">
        <w:tc>
          <w:tcPr>
            <w:tcW w:w="492" w:type="dxa"/>
            <w:shd w:val="clear" w:color="auto" w:fill="auto"/>
            <w:vAlign w:val="center"/>
          </w:tcPr>
          <w:p w14:paraId="6A23C1DF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D18810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5DB7EA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j.m.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65474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C3C45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E50F5DD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2F4EE1D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Va</w:t>
            </w:r>
            <w:proofErr w:type="spellEnd"/>
          </w:p>
          <w:p w14:paraId="595F854E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089F91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8250B6C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27B55">
              <w:rPr>
                <w:rFonts w:ascii="Calibri" w:hAnsi="Calibri" w:cs="Arial"/>
                <w:sz w:val="12"/>
                <w:szCs w:val="12"/>
              </w:rPr>
              <w:t>PODAĆ:</w:t>
            </w:r>
          </w:p>
          <w:p w14:paraId="1033E695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27B55">
              <w:rPr>
                <w:rFonts w:ascii="Calibri" w:hAnsi="Calibri" w:cs="Arial"/>
                <w:sz w:val="12"/>
                <w:szCs w:val="12"/>
              </w:rPr>
              <w:t>1.NAZWĘ PRODUCENTA</w:t>
            </w:r>
          </w:p>
          <w:p w14:paraId="3221AC62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27B55">
              <w:rPr>
                <w:rFonts w:ascii="Calibri" w:hAnsi="Calibri" w:cs="Arial"/>
                <w:sz w:val="12"/>
                <w:szCs w:val="12"/>
              </w:rPr>
              <w:t>2. NAZWA HANDLOWA</w:t>
            </w:r>
          </w:p>
          <w:p w14:paraId="50DF05AA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Arial"/>
                <w:sz w:val="12"/>
                <w:szCs w:val="12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16E9315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KLASA OFEROWANEGO WYROBU ZGODNIE  Z REGUŁAMI KLASYFIKACJI WYROBÓW ZAWARTYMI W ROZPORZĄDZENIU PARLAMENTU EUROPEJSKIEGO I RADY (UE) 2017/745 – PODAĆ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167D4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Podać wielkość najmniejszego opakowania zbiorczego</w:t>
            </w:r>
          </w:p>
        </w:tc>
      </w:tr>
      <w:tr w:rsidR="00827B55" w:rsidRPr="00827B55" w14:paraId="65298467" w14:textId="77777777" w:rsidTr="002B24FF">
        <w:tc>
          <w:tcPr>
            <w:tcW w:w="492" w:type="dxa"/>
            <w:shd w:val="clear" w:color="auto" w:fill="auto"/>
            <w:vAlign w:val="center"/>
          </w:tcPr>
          <w:p w14:paraId="741ABD0E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0D3C37D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 xml:space="preserve">$odium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Citrate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4%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Natri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Citras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4% 1500ml nr katalog. F00008107 Fresenius Medical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Care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lub równoważny* produkt, o stężeniu cytrynianu 136mmol/l (4%), pojemność worka 1500ml, Worek dwukomorowy zapakowany w zewnętrznej folii bez obecności powietrza. Worek powinien posiadać port do pobierania płynu oraz dodatkowy stożek zabezpieczony przed niekontrolowanym wypływem podczas podłączania. </w:t>
            </w:r>
          </w:p>
          <w:p w14:paraId="16FF6090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lastRenderedPageBreak/>
              <w:t>Próbka i karta potwierdzająca skład oferowanego 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283918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23442E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FB7939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966316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08166D9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F53826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1BE6EBA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71AAB015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C31FFA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31CC2AF3" w14:textId="77777777" w:rsidTr="002B24FF">
        <w:tc>
          <w:tcPr>
            <w:tcW w:w="492" w:type="dxa"/>
            <w:shd w:val="clear" w:color="auto" w:fill="auto"/>
            <w:vAlign w:val="center"/>
          </w:tcPr>
          <w:p w14:paraId="04C9625A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CCEBEA2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Dializaty CICA - buforowane wodorowęglanem płyny dializacyjne lub równoważne* płyny dializacyjne </w:t>
            </w:r>
            <w:proofErr w:type="spellStart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bezwapniowe</w:t>
            </w:r>
            <w:proofErr w:type="spellEnd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w dwukomorowym worku zawierającym 4,75l zasadowego roztworu wodorowęglanu w jednej komorze i 0,25l kwaśnego roztworu elektrolitów i glukozy w drugiej komorze, wyposażone w dwa porty do pobierania płynu typu </w:t>
            </w:r>
            <w:proofErr w:type="spellStart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Safe</w:t>
            </w:r>
            <w:proofErr w:type="spellEnd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Lock ( kodowany kolorem żółtym identycznie z końcówką drenu poboru dializatu w kasecie) oraz </w:t>
            </w:r>
            <w:proofErr w:type="spellStart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Luer</w:t>
            </w:r>
            <w:proofErr w:type="spellEnd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Lock.; port z membraną do nakłucia w celu modyfikacji składu; porty wylotowe powinny posiadać dodatkowo stożek zabezpieczający przed niekontrolowanym wypływem podczas podłączenia.</w:t>
            </w:r>
          </w:p>
          <w:p w14:paraId="62741F92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Karta potwierdzająca skład oferowanego produktu.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EC1243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A854F3C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73D81CB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DA9302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EA8EEC2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21DC50DC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C16CD3C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3C69EF58" w14:textId="77777777" w:rsidTr="002B24FF">
        <w:tc>
          <w:tcPr>
            <w:tcW w:w="492" w:type="dxa"/>
            <w:shd w:val="clear" w:color="auto" w:fill="auto"/>
            <w:vAlign w:val="center"/>
          </w:tcPr>
          <w:p w14:paraId="00986FF1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30B24D9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 xml:space="preserve">DIALIZAT Cl-CA K2 5000ml (w gotowym do użycia roztworze Na+ 133mmol/L; K+ 2,0mmol/L; Ca++ 0mmol/L; Mg++0,75mmol/L; HCO3- 20mmol/L; CL- 116,Smmol/L; H3PO4 0mmol/L.) nr katalog. 9689201 Fresenius Medical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Care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lub równoważny o składzie (w gotowym do użycia roztworze Na+ 133mmol/L; K+ 2,0mmol/L; Ca++ 0mmol/L; Mg++0,75mmol/L; HCO3- 20mmol/L; CL- 116,5mmol/L; H3PO4 0mmol/L.) Karta potwierdzająca skład oferowanego 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9190CC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46C99C8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65EB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1D6E78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C7CE2F5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E1BC4B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A55A586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22BBDCC0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C1067C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7DC408BF" w14:textId="77777777" w:rsidTr="002B24FF">
        <w:tc>
          <w:tcPr>
            <w:tcW w:w="492" w:type="dxa"/>
            <w:shd w:val="clear" w:color="auto" w:fill="auto"/>
            <w:vAlign w:val="center"/>
          </w:tcPr>
          <w:p w14:paraId="470FE9B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8852CA0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DIALIZAT Cl-CA K2 PLUS 5000ml * (w</w:t>
            </w:r>
          </w:p>
          <w:p w14:paraId="380DE399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gotowym do użycia roztworze Na+ 133mmol/L; K+ 2,0mmol/L; Ca++ 0mmol/L; Mg++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lmmol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/L; HCO3-20mmol/L; CL- 115,75mmol/L; H3PO4 1,25mmol/L) nr katalog. F00001624 Fresenius Medical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Care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lub równoważny* o składzie (w gotowym do użycia roztworze Na+ 133mmol/L; K+ 2,0mmol/L; Ca++ 0mmol/L; Mg++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lmmol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>/L; HC03-20mmol/L; CL-115,75mmol/L; H3PO4</w:t>
            </w:r>
          </w:p>
          <w:p w14:paraId="07E12686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1,25mmol/L). Karta potwierdzająca skład</w:t>
            </w:r>
          </w:p>
          <w:p w14:paraId="638F9029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oferowanego 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9A588D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43E307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735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95A2A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4B4AFD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2CA6F8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B2525CB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B27CCD6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20EA23C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16A802C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22815B0F" w14:textId="77777777" w:rsidTr="002B24FF">
        <w:tc>
          <w:tcPr>
            <w:tcW w:w="492" w:type="dxa"/>
            <w:shd w:val="clear" w:color="auto" w:fill="auto"/>
            <w:vAlign w:val="center"/>
          </w:tcPr>
          <w:p w14:paraId="649095C0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9CDC516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DIALIZAT Cl-CA K4 5000ml * (w gotowym do użycia roztworze Na+ 133mmol/L; K+ 4,0mmol/L; Ca++ 0mmol/L; Mg++0,7Smmol/L; HC03- 20mmol/L; CL- 118,5mmol/L; H3PO4 0mmol/L) nr katalog.F00000431Fresenius Medical lub równoważny* o składzie w gotowym do użycia roztworze Na+ 133mmol/L; K+ 4,0mmol/L; Ca++ 0mmol/L; Mg++0,75mmol/L; HCO3- 20mmol/L; CL- 118,5mmol/L; H3PO4 0mmol/L. Karta</w:t>
            </w:r>
          </w:p>
          <w:p w14:paraId="060EAAC6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potwierdzająca skład oferowanego</w:t>
            </w:r>
          </w:p>
          <w:p w14:paraId="7BBA0FDE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FFC2B8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DDC51E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FD330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8B59043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86C1A2F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6352743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02FF2EF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3A877A24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A657D35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265ACFF1" w14:textId="77777777" w:rsidTr="002B24FF">
        <w:tc>
          <w:tcPr>
            <w:tcW w:w="492" w:type="dxa"/>
            <w:shd w:val="clear" w:color="auto" w:fill="auto"/>
            <w:vAlign w:val="center"/>
          </w:tcPr>
          <w:p w14:paraId="578F0B3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25AE22BC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DIALIZAT Cl-CA K4 Plus 5000ml * (w</w:t>
            </w:r>
          </w:p>
          <w:p w14:paraId="24775366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 xml:space="preserve">gotowym do użycia roztworze Na+ 133mmol/L; K+ 4,0mmol/L; Ca++ 0mmol/L; Mg++ 1,0mmol/L; HC03- 20mmol/L; CL- 117,75mmol/L; H3PO4 1,25mmol/L) nr katalog.F00001625 Fresenius Medical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Care</w:t>
            </w:r>
            <w:proofErr w:type="spellEnd"/>
          </w:p>
          <w:p w14:paraId="10C74660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lub równoważny* o składzie w gotowym do użycia roztworze Na+ 133mmol/L; K+ 4,0mmol/L; Ca++ 0mmol/L; Mg++ 1,0mmol/L; HC03- 20mmol/L; CL- 117,75mmol/L; H3P04 1,25mmol/L Karta potwierdzająca skład oferowanego</w:t>
            </w:r>
          </w:p>
          <w:p w14:paraId="47E38DF1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C931CF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88DB8A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5B3B6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402214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0C3723D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5027903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AE91C78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7BF5D9CB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1B13569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36BBFD9F" w14:textId="77777777" w:rsidTr="002B24FF">
        <w:tc>
          <w:tcPr>
            <w:tcW w:w="492" w:type="dxa"/>
            <w:shd w:val="clear" w:color="auto" w:fill="auto"/>
            <w:vAlign w:val="center"/>
          </w:tcPr>
          <w:p w14:paraId="04E81F61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58088302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* w przypadku produktu równoważnego wymagane oświadczenie producenta aparatu potwierdzającego kompatybilność- dopuszczenie do stosowania zaoferowanego asortymentu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6DB7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B6E21C0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B117B19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8AC385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1FA154E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021037EB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33DD909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38F00A2D" w14:textId="77777777" w:rsidTr="002B24FF">
        <w:tc>
          <w:tcPr>
            <w:tcW w:w="492" w:type="dxa"/>
            <w:shd w:val="clear" w:color="auto" w:fill="auto"/>
            <w:vAlign w:val="center"/>
          </w:tcPr>
          <w:p w14:paraId="64FD94F3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6F482676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8643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D289838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964962E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2E223AD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87F69D4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4B0BDCE1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1258F1D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14:paraId="1377E666" w14:textId="77777777" w:rsidR="00DD1417" w:rsidRDefault="00DD1417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104CA69F" w14:textId="2E1269F7" w:rsidR="00DD1417" w:rsidRDefault="00943AD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”, </w:t>
      </w:r>
    </w:p>
    <w:p w14:paraId="225D5D19" w14:textId="77777777" w:rsidR="00DD1417" w:rsidRDefault="00943AD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827B55">
        <w:rPr>
          <w:rFonts w:ascii="Sylfaen" w:hAnsi="Sylfaen" w:cs="Calibri"/>
          <w:bCs/>
          <w:color w:val="000000" w:themeColor="text1"/>
          <w:sz w:val="20"/>
          <w:szCs w:val="20"/>
          <w:highlight w:val="yellow"/>
        </w:rPr>
        <w:t>a w miejsce wykreślonego zapisu wprowadza nowy zapis o następującej treści:</w:t>
      </w: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</w:p>
    <w:p w14:paraId="15955B02" w14:textId="77777777" w:rsidR="00DD1417" w:rsidRDefault="00943AD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„</w:t>
      </w:r>
    </w:p>
    <w:p w14:paraId="6A33ECF5" w14:textId="77777777" w:rsidR="00827B55" w:rsidRPr="00361787" w:rsidRDefault="00827B55" w:rsidP="00827B55">
      <w:pPr>
        <w:rPr>
          <w:b/>
          <w:bCs/>
          <w:iCs/>
          <w:sz w:val="20"/>
          <w:szCs w:val="20"/>
        </w:rPr>
      </w:pPr>
      <w:r w:rsidRPr="00361787">
        <w:rPr>
          <w:b/>
          <w:bCs/>
          <w:iCs/>
          <w:sz w:val="20"/>
          <w:szCs w:val="20"/>
        </w:rPr>
        <w:t>ZADANIE NR 1 – CYTRYNIAN I DIALIZATY</w:t>
      </w:r>
    </w:p>
    <w:p w14:paraId="65165874" w14:textId="77777777" w:rsidR="00827B55" w:rsidRDefault="00827B55" w:rsidP="00827B55">
      <w:pPr>
        <w:suppressAutoHyphens/>
        <w:rPr>
          <w:rFonts w:eastAsia="Batang"/>
          <w:b/>
          <w:bCs/>
          <w:kern w:val="2"/>
          <w:sz w:val="18"/>
          <w:szCs w:val="18"/>
          <w:lang w:eastAsia="ar-SA"/>
        </w:rPr>
      </w:pPr>
    </w:p>
    <w:tbl>
      <w:tblPr>
        <w:tblW w:w="106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708"/>
        <w:gridCol w:w="709"/>
        <w:gridCol w:w="829"/>
        <w:gridCol w:w="305"/>
        <w:gridCol w:w="922"/>
        <w:gridCol w:w="1098"/>
        <w:gridCol w:w="1179"/>
        <w:gridCol w:w="979"/>
      </w:tblGrid>
      <w:tr w:rsidR="00827B55" w:rsidRPr="00093301" w14:paraId="40208D7E" w14:textId="77777777" w:rsidTr="002B24FF">
        <w:tc>
          <w:tcPr>
            <w:tcW w:w="492" w:type="dxa"/>
            <w:shd w:val="clear" w:color="auto" w:fill="auto"/>
            <w:vAlign w:val="center"/>
          </w:tcPr>
          <w:p w14:paraId="254C581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DC778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301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20B40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D6594F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D1B58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97ECB53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004AE627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546C2615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3FDCB25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A6738A9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PODAĆ:</w:t>
            </w:r>
          </w:p>
          <w:p w14:paraId="74F58CA6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1.NAZWĘ PRODUCENTA</w:t>
            </w:r>
          </w:p>
          <w:p w14:paraId="0B21B3AB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2. NAZWA HANDLOWA</w:t>
            </w:r>
          </w:p>
          <w:p w14:paraId="26F6683C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560999B7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sz w:val="14"/>
                <w:szCs w:val="14"/>
              </w:rPr>
              <w:t xml:space="preserve">KLASA OFEROWANEGO WYROBU ZGODNIE  Z REGUŁAMI KLASYFIKACJI WYROBÓW ZAWARTYMI W ROZPORZĄDZENIU PARLAMENTU EUROPEJSKIEGO I RADY (UE) 2017/745 – </w:t>
            </w:r>
            <w:r>
              <w:rPr>
                <w:rFonts w:ascii="Calibri" w:hAnsi="Calibri" w:cs="Calibri"/>
                <w:sz w:val="14"/>
                <w:szCs w:val="14"/>
              </w:rPr>
              <w:t>PODAĆ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95AEC1A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</w:tr>
      <w:tr w:rsidR="00827B55" w:rsidRPr="00093301" w14:paraId="5BEE666C" w14:textId="77777777" w:rsidTr="002B24FF">
        <w:tc>
          <w:tcPr>
            <w:tcW w:w="492" w:type="dxa"/>
            <w:shd w:val="clear" w:color="auto" w:fill="auto"/>
            <w:vAlign w:val="center"/>
          </w:tcPr>
          <w:p w14:paraId="3BE0F1C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79BB919" w14:textId="77777777" w:rsidR="00827B55" w:rsidRPr="00827B55" w:rsidRDefault="00827B55" w:rsidP="00827B5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827B55">
              <w:rPr>
                <w:rFonts w:ascii="Calibri" w:hAnsi="Calibri" w:cs="Calibri"/>
                <w:sz w:val="16"/>
                <w:szCs w:val="16"/>
              </w:rPr>
              <w:t xml:space="preserve">$odium </w:t>
            </w:r>
            <w:proofErr w:type="spellStart"/>
            <w:r w:rsidRPr="00827B55">
              <w:rPr>
                <w:rFonts w:ascii="Calibri" w:hAnsi="Calibri" w:cs="Calibri"/>
                <w:sz w:val="16"/>
                <w:szCs w:val="16"/>
              </w:rPr>
              <w:t>Citrate</w:t>
            </w:r>
            <w:proofErr w:type="spellEnd"/>
            <w:r w:rsidRPr="00827B55">
              <w:rPr>
                <w:rFonts w:ascii="Calibri" w:hAnsi="Calibri" w:cs="Calibri"/>
                <w:sz w:val="16"/>
                <w:szCs w:val="16"/>
              </w:rPr>
              <w:t xml:space="preserve"> 4% </w:t>
            </w:r>
            <w:proofErr w:type="spellStart"/>
            <w:r w:rsidRPr="00827B55">
              <w:rPr>
                <w:rFonts w:ascii="Calibri" w:hAnsi="Calibri" w:cs="Calibri"/>
                <w:sz w:val="16"/>
                <w:szCs w:val="16"/>
              </w:rPr>
              <w:t>Natri</w:t>
            </w:r>
            <w:proofErr w:type="spellEnd"/>
            <w:r w:rsidRPr="00827B5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7B55">
              <w:rPr>
                <w:rFonts w:ascii="Calibri" w:hAnsi="Calibri" w:cs="Calibri"/>
                <w:sz w:val="16"/>
                <w:szCs w:val="16"/>
              </w:rPr>
              <w:t>Citras</w:t>
            </w:r>
            <w:proofErr w:type="spellEnd"/>
            <w:r w:rsidRPr="00827B55">
              <w:rPr>
                <w:rFonts w:ascii="Calibri" w:hAnsi="Calibri" w:cs="Calibri"/>
                <w:sz w:val="16"/>
                <w:szCs w:val="16"/>
              </w:rPr>
              <w:t xml:space="preserve"> 4% 1500ml nr katalog. F00008107 Fresenius Medical </w:t>
            </w:r>
            <w:proofErr w:type="spellStart"/>
            <w:r w:rsidRPr="00827B55">
              <w:rPr>
                <w:rFonts w:ascii="Calibri" w:hAnsi="Calibri" w:cs="Calibri"/>
                <w:sz w:val="16"/>
                <w:szCs w:val="16"/>
              </w:rPr>
              <w:t>Care</w:t>
            </w:r>
            <w:proofErr w:type="spellEnd"/>
            <w:r w:rsidRPr="00827B55">
              <w:rPr>
                <w:rFonts w:ascii="Calibri" w:hAnsi="Calibri" w:cs="Calibri"/>
                <w:sz w:val="16"/>
                <w:szCs w:val="16"/>
              </w:rPr>
              <w:t xml:space="preserve"> lub równoważny* produkt, o stężeniu cytrynianu 136mmol/l (4%), pojemność worka 1500ml, Worek </w:t>
            </w:r>
            <w:r w:rsidRPr="00827B55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jednokomorowy z jednym portem podłączeniowym typu </w:t>
            </w:r>
            <w:proofErr w:type="spellStart"/>
            <w:r w:rsidRPr="00827B55">
              <w:rPr>
                <w:rFonts w:ascii="Calibri" w:hAnsi="Calibri" w:cs="Calibri"/>
                <w:sz w:val="16"/>
                <w:szCs w:val="16"/>
              </w:rPr>
              <w:t>SecuNect</w:t>
            </w:r>
            <w:proofErr w:type="spellEnd"/>
            <w:r w:rsidRPr="00827B55">
              <w:rPr>
                <w:rFonts w:ascii="Calibri" w:hAnsi="Calibri" w:cs="Calibri"/>
                <w:sz w:val="16"/>
                <w:szCs w:val="16"/>
              </w:rPr>
              <w:t xml:space="preserve">.  zapakowany w zewnętrznej folii bez obecności powietrza. </w:t>
            </w:r>
          </w:p>
          <w:p w14:paraId="21BBCD4D" w14:textId="0C18D079" w:rsidR="00827B55" w:rsidRPr="00A94155" w:rsidRDefault="00827B55" w:rsidP="00827B5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827B55">
              <w:rPr>
                <w:rFonts w:ascii="Calibri" w:hAnsi="Calibri" w:cs="Calibri"/>
                <w:sz w:val="16"/>
                <w:szCs w:val="16"/>
              </w:rPr>
              <w:t>Próbka i karta potwierdzająca skład oferowanego 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BFC2F6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A735DB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9C7E8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806F5B6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E0D063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4B3F6D8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711A359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1AB44FDF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268DCE1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0E4991B1" w14:textId="77777777" w:rsidTr="002B24FF">
        <w:tc>
          <w:tcPr>
            <w:tcW w:w="492" w:type="dxa"/>
            <w:shd w:val="clear" w:color="auto" w:fill="auto"/>
            <w:vAlign w:val="center"/>
          </w:tcPr>
          <w:p w14:paraId="63DC3066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113999DD" w14:textId="77777777" w:rsidR="00827B55" w:rsidRPr="00B159CC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Dializaty CICA - buforowane wodorowęglanem płyny dializacyjne lub równoważne* płyny dializacyjne </w:t>
            </w:r>
            <w:proofErr w:type="spellStart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>bezwapniowe</w:t>
            </w:r>
            <w:proofErr w:type="spellEnd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dwukomorowym worku zawierającym 4,75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zasadowego roztworu wodorowęglanu w jednej komorze i 0,25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kwaśnego roztworu elektrolitów i glukozy w drugiej komorze, wyposażone w dwa porty do pobierania płynu typu </w:t>
            </w:r>
            <w:proofErr w:type="spellStart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>Safe</w:t>
            </w:r>
            <w:proofErr w:type="spellEnd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( kodowany kolorem żółtym identycznie z końcówką drenu poboru dializatu w kasecie) oraz </w:t>
            </w:r>
            <w:proofErr w:type="spellStart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Lock.; port z membraną do nakłucia w celu modyfikacji składu; porty wylotowe powinny posiadać dodatkowo stożek zabezpieczający przed niekontrolowanym wypływem podczas podłączenia.</w:t>
            </w:r>
          </w:p>
          <w:p w14:paraId="69D080D5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>Karta potwierdzająca skład oferowanego produktu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B6B81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88824EF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9FD9C0D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584D2D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395A8DE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6F7C073D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42EB10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6FBA0A15" w14:textId="77777777" w:rsidTr="002B24FF">
        <w:tc>
          <w:tcPr>
            <w:tcW w:w="492" w:type="dxa"/>
            <w:shd w:val="clear" w:color="auto" w:fill="auto"/>
            <w:vAlign w:val="center"/>
          </w:tcPr>
          <w:p w14:paraId="3766DF5C" w14:textId="77777777" w:rsid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0939EC6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 xml:space="preserve">DIALIZAT Cl-CA K2 5000ml (w gotowym do użycia roztworze Na+ 133mmol/L; K+ 2,0mmol/L; Ca++ 0mmol/L; Mg++0,75mmol/L; HCO3- 20mmol/L; CL- 116,Smmol/L; H3PO4 0mmol/L.) nr katalog. 9689201 Fresenius Medical </w:t>
            </w:r>
            <w:proofErr w:type="spellStart"/>
            <w:r w:rsidRPr="009C26CD">
              <w:rPr>
                <w:rFonts w:ascii="Calibri" w:hAnsi="Calibri" w:cs="Calibri"/>
                <w:sz w:val="16"/>
                <w:szCs w:val="16"/>
              </w:rPr>
              <w:t>Care</w:t>
            </w:r>
            <w:proofErr w:type="spellEnd"/>
            <w:r w:rsidRPr="009C26CD">
              <w:rPr>
                <w:rFonts w:ascii="Calibri" w:hAnsi="Calibri" w:cs="Calibri"/>
                <w:sz w:val="16"/>
                <w:szCs w:val="16"/>
              </w:rPr>
              <w:t xml:space="preserve"> lub równoważny o składzie (w gotowym do użycia roztworze Na+ 133mmol/L; K+ 2,0mmol/L; Ca++ 0mmol/L; Mg++0,75mmol/L; HCO3- 20mmol/L; CL- 116,5mmol/L; H3PO4 0mmol/L.) Karta potwierdzająca skład oferowanego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</w:t>
            </w:r>
            <w:r w:rsidRPr="009C26CD">
              <w:rPr>
                <w:rFonts w:ascii="Calibri" w:hAnsi="Calibri" w:cs="Calibri"/>
                <w:sz w:val="16"/>
                <w:szCs w:val="16"/>
              </w:rPr>
              <w:t>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3EB6F2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FD316B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D8A1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D87ABB7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8D33BA8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AA4945D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6DCA932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0A53D535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D27176A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759300C4" w14:textId="77777777" w:rsidTr="002B24FF">
        <w:tc>
          <w:tcPr>
            <w:tcW w:w="492" w:type="dxa"/>
            <w:shd w:val="clear" w:color="auto" w:fill="auto"/>
            <w:vAlign w:val="center"/>
          </w:tcPr>
          <w:p w14:paraId="4F21B9E5" w14:textId="77777777" w:rsid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BE5602E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DIALIZAT Cl-CA K2 PLUS 5000ml * (w</w:t>
            </w:r>
          </w:p>
          <w:p w14:paraId="09A7A453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gotowym do użycia roztworze Na+ 133mmol/L; K+ 2,0mmol/L; Ca++ 0mmol/L; Mg++</w:t>
            </w:r>
            <w:proofErr w:type="spellStart"/>
            <w:r w:rsidRPr="009C26CD">
              <w:rPr>
                <w:rFonts w:ascii="Calibri" w:hAnsi="Calibri" w:cs="Calibri"/>
                <w:sz w:val="16"/>
                <w:szCs w:val="16"/>
              </w:rPr>
              <w:t>lmmol</w:t>
            </w:r>
            <w:proofErr w:type="spellEnd"/>
            <w:r w:rsidRPr="009C26CD">
              <w:rPr>
                <w:rFonts w:ascii="Calibri" w:hAnsi="Calibri" w:cs="Calibri"/>
                <w:sz w:val="16"/>
                <w:szCs w:val="16"/>
              </w:rPr>
              <w:t xml:space="preserve">/L; HCO3-20mmol/L; CL- 115,75mmol/L; H3PO4 1,25mmol/L) nr katalog. F00001624 Fresenius Medical </w:t>
            </w:r>
            <w:proofErr w:type="spellStart"/>
            <w:r w:rsidRPr="009C26CD">
              <w:rPr>
                <w:rFonts w:ascii="Calibri" w:hAnsi="Calibri" w:cs="Calibri"/>
                <w:sz w:val="16"/>
                <w:szCs w:val="16"/>
              </w:rPr>
              <w:t>Care</w:t>
            </w:r>
            <w:proofErr w:type="spellEnd"/>
            <w:r w:rsidRPr="009C26CD">
              <w:rPr>
                <w:rFonts w:ascii="Calibri" w:hAnsi="Calibri" w:cs="Calibri"/>
                <w:sz w:val="16"/>
                <w:szCs w:val="16"/>
              </w:rPr>
              <w:t xml:space="preserve"> lub równoważny* o składzie (w gotowym do użycia roztworze Na+ 133mmol/L; K+ 2,0mmol/L; Ca++ 0mmol/L; Mg++</w:t>
            </w:r>
            <w:proofErr w:type="spellStart"/>
            <w:r w:rsidRPr="009C26CD">
              <w:rPr>
                <w:rFonts w:ascii="Calibri" w:hAnsi="Calibri" w:cs="Calibri"/>
                <w:sz w:val="16"/>
                <w:szCs w:val="16"/>
              </w:rPr>
              <w:t>lmmol</w:t>
            </w:r>
            <w:proofErr w:type="spellEnd"/>
            <w:r w:rsidRPr="009C26CD">
              <w:rPr>
                <w:rFonts w:ascii="Calibri" w:hAnsi="Calibri" w:cs="Calibri"/>
                <w:sz w:val="16"/>
                <w:szCs w:val="16"/>
              </w:rPr>
              <w:t>/L; HC03-20mmol/L; CL-115,75mmol/L; H3PO4</w:t>
            </w:r>
          </w:p>
          <w:p w14:paraId="7F57AEEF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1,25mmol/L). Karta potwierdzająca skład</w:t>
            </w:r>
          </w:p>
          <w:p w14:paraId="61DEFC29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oferowanego 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7C9C1E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7E01F7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E3D1F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51B8051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B1663CA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4FF175A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92F7870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3D2C48FD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6F8E5C1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484E0BB5" w14:textId="77777777" w:rsidTr="002B24FF">
        <w:tc>
          <w:tcPr>
            <w:tcW w:w="492" w:type="dxa"/>
            <w:shd w:val="clear" w:color="auto" w:fill="auto"/>
            <w:vAlign w:val="center"/>
          </w:tcPr>
          <w:p w14:paraId="23914F5F" w14:textId="77777777" w:rsid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89EC635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DIALIZAT Cl-CA K4 5000ml * (w gotowym do użycia roztworze Na+ 133mmol/L; K+ 4,0mmol/L; Ca++ 0mmol/L; Mg++0,7Smmol/L; HC03- 20mmol/L; CL- 118,5mmol/L; H3PO4 0mmol/L) nr katalog.F00000431Fresenius Medical lub równoważny* o składzie w gotowym do użycia roztworze Na+ 133mmol/L; K+ 4,0mmol/L; Ca++ 0mmol/L; Mg++0,75mmol/L; HCO3- 20mmol/L; CL- 118,5mmol/L; H3PO4 0mmol/L. Karta</w:t>
            </w:r>
          </w:p>
          <w:p w14:paraId="1E2698CD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potwierdzająca skład oferowanego</w:t>
            </w:r>
          </w:p>
          <w:p w14:paraId="49C0B721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9C26CD">
              <w:rPr>
                <w:rFonts w:ascii="Calibri" w:hAnsi="Calibri" w:cs="Calibri"/>
                <w:sz w:val="16"/>
                <w:szCs w:val="16"/>
              </w:rPr>
              <w:t>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3E51D9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D691AD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F7B42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9485703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73EE53C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2ECEBCA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61E78AD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1A086BF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02220B8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5944EA7C" w14:textId="77777777" w:rsidTr="002B24FF">
        <w:tc>
          <w:tcPr>
            <w:tcW w:w="492" w:type="dxa"/>
            <w:shd w:val="clear" w:color="auto" w:fill="auto"/>
            <w:vAlign w:val="center"/>
          </w:tcPr>
          <w:p w14:paraId="752408ED" w14:textId="77777777" w:rsid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027754B4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DIALIZAT Cl-CA K4 Plus 5000ml * (w</w:t>
            </w:r>
          </w:p>
          <w:p w14:paraId="36F92062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gotowym do użycia roztworze Na+ 133mmol/L; K+ 4,0mmol/L; Ca++ 0mmol/L; Mg++ 1,0mmol/L; HC03- 20mmol/L; CL- 117,7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C26CD">
              <w:rPr>
                <w:rFonts w:ascii="Calibri" w:hAnsi="Calibri" w:cs="Calibri"/>
                <w:sz w:val="16"/>
                <w:szCs w:val="16"/>
              </w:rPr>
              <w:t xml:space="preserve">mmol/L; H3PO4 1,25mmol/L) nr katalog.F00001625 Fresenius Medical </w:t>
            </w:r>
            <w:proofErr w:type="spellStart"/>
            <w:r w:rsidRPr="009C26CD">
              <w:rPr>
                <w:rFonts w:ascii="Calibri" w:hAnsi="Calibri" w:cs="Calibri"/>
                <w:sz w:val="16"/>
                <w:szCs w:val="16"/>
              </w:rPr>
              <w:t>Care</w:t>
            </w:r>
            <w:proofErr w:type="spellEnd"/>
          </w:p>
          <w:p w14:paraId="0E5C22C7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lub równoważny* o składzie w gotowym do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C26CD">
              <w:rPr>
                <w:rFonts w:ascii="Calibri" w:hAnsi="Calibri" w:cs="Calibri"/>
                <w:sz w:val="16"/>
                <w:szCs w:val="16"/>
              </w:rPr>
              <w:t xml:space="preserve">użycia roztworze Na+ </w:t>
            </w:r>
            <w:r w:rsidRPr="009C26CD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133mmol/L; K+ 4,0mmol/L; Ca++ 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C26CD">
              <w:rPr>
                <w:rFonts w:ascii="Calibri" w:hAnsi="Calibri" w:cs="Calibri"/>
                <w:sz w:val="16"/>
                <w:szCs w:val="16"/>
              </w:rPr>
              <w:t>mmol/L; Mg++ 1,0mmol/L; HC03- 20mmol/L; CL- 117,75mmol/L; H3P04 1,25mmol/L Karta potwierdzająca skład oferowanego</w:t>
            </w:r>
          </w:p>
          <w:p w14:paraId="7FAEE83B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102B9F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B666D45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AC94F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8899BFC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2320CE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525EB82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AC8C228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72CD408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31B6F7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47AECA52" w14:textId="77777777" w:rsidTr="002B24FF">
        <w:tc>
          <w:tcPr>
            <w:tcW w:w="492" w:type="dxa"/>
            <w:shd w:val="clear" w:color="auto" w:fill="auto"/>
            <w:vAlign w:val="center"/>
          </w:tcPr>
          <w:p w14:paraId="43E47F33" w14:textId="77777777" w:rsid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2FF08D70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* w przypadku produktu równoważnego wymagane oświadczenie producenta aparatu potwierdzającego kompatybilność- dopuszczenie do stosowania zaoferowanego asortymentu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EC73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6DD9EC3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F207C80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C55164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744DBEA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37B58157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92FBE92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4F901919" w14:textId="77777777" w:rsidTr="002B24FF">
        <w:tc>
          <w:tcPr>
            <w:tcW w:w="492" w:type="dxa"/>
            <w:shd w:val="clear" w:color="auto" w:fill="auto"/>
            <w:vAlign w:val="center"/>
          </w:tcPr>
          <w:p w14:paraId="1794791E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5F738C2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hAnsi="Calibri" w:cs="Calibri"/>
                <w:sz w:val="16"/>
                <w:szCs w:val="16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9418B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D644DE2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C0CAF8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DB641AE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4028B40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40A4E453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0D82856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661FB437" w14:textId="77777777" w:rsidR="00827B55" w:rsidRDefault="00827B55" w:rsidP="00827B55">
      <w:pPr>
        <w:tabs>
          <w:tab w:val="left" w:pos="2127"/>
        </w:tabs>
        <w:rPr>
          <w:rFonts w:ascii="Calibri" w:hAnsi="Calibri" w:cs="Calibri"/>
          <w:iCs/>
          <w:sz w:val="20"/>
          <w:szCs w:val="20"/>
        </w:rPr>
      </w:pPr>
    </w:p>
    <w:p w14:paraId="0676D49F" w14:textId="77777777" w:rsidR="00DD1417" w:rsidRDefault="00DD1417" w:rsidP="00446808">
      <w:pPr>
        <w:jc w:val="both"/>
        <w:rPr>
          <w:rFonts w:ascii="Sylfaen" w:hAnsi="Sylfaen" w:cs="Calibri"/>
          <w:sz w:val="20"/>
          <w:szCs w:val="20"/>
        </w:rPr>
      </w:pPr>
    </w:p>
    <w:p w14:paraId="3ABAF625" w14:textId="79CE9D56" w:rsidR="00E73A51" w:rsidRPr="00F4400B" w:rsidRDefault="00F4400B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sz w:val="20"/>
          <w:szCs w:val="20"/>
        </w:rPr>
        <w:t>.</w:t>
      </w:r>
      <w:r w:rsidR="00943ADF" w:rsidRPr="00F4400B">
        <w:rPr>
          <w:rFonts w:ascii="Sylfaen" w:hAnsi="Sylfaen" w:cs="Calibri"/>
          <w:bCs/>
          <w:color w:val="000000" w:themeColor="text1"/>
          <w:sz w:val="20"/>
          <w:szCs w:val="20"/>
        </w:rPr>
        <w:t>”</w:t>
      </w: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.</w:t>
      </w:r>
    </w:p>
    <w:p w14:paraId="3943F6FA" w14:textId="77777777" w:rsidR="00E73A51" w:rsidRPr="00F4400B" w:rsidRDefault="00E73A51" w:rsidP="00382808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4DA809B5" w14:textId="77777777" w:rsidR="00D21D66" w:rsidRPr="00F4400B" w:rsidRDefault="00D21D66" w:rsidP="00D21D66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Pozostałe warunki SWZ nie ulegają zmianie.</w:t>
      </w:r>
    </w:p>
    <w:p w14:paraId="6A0FCAB0" w14:textId="7ADFC0B7" w:rsidR="00F4400B" w:rsidRDefault="00F4400B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4F11334" w14:textId="77777777" w:rsidR="00F4400B" w:rsidRDefault="00F4400B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73F2290" w14:textId="2C1DE530" w:rsidR="00EB70CD" w:rsidRDefault="00EB70CD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1EE2FC4" w14:textId="0BC46EB5" w:rsidR="00EB70CD" w:rsidRDefault="00EB70CD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9D7D5AC" w14:textId="382CD8A3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B7FC50D" w14:textId="5FB74369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4A1FC1F" w14:textId="2551F719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48138A5" w14:textId="7C67057A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74A1CF9" w14:textId="1146357B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D7E6BED" w14:textId="05FF3E70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C0B1246" w14:textId="3FC8DB20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78B3059" w14:textId="51CA7204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E84D952" w14:textId="2991FEC6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0E7BF8E" w14:textId="35AC8B52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7698F5F" w14:textId="67AE0D65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B44CC63" w14:textId="3961ACA2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328A54E" w14:textId="795A9519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316D25A" w14:textId="3D907A52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AB17B65" w14:textId="35D7C934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24E9EDE" w14:textId="0D316F5C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C89E58D" w14:textId="113836DB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49D20DD" w14:textId="0B0285B2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ACFB51C" w14:textId="0D63DCE6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B1E226B" w14:textId="5E1B4BEB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83C6989" w14:textId="20A98D94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3A93452" w14:textId="2D48E131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FF3DF81" w14:textId="29D23560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05671BB" w14:textId="77777777" w:rsidR="00827B55" w:rsidRPr="00E640B6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61204560" w:rsidR="00382808" w:rsidRPr="00606226" w:rsidRDefault="00D21D66" w:rsidP="00EF4809">
      <w:pPr>
        <w:rPr>
          <w:rFonts w:ascii="Sylfaen" w:hAnsi="Sylfaen" w:cstheme="minorHAnsi"/>
          <w:color w:val="000000" w:themeColor="text1"/>
          <w:sz w:val="16"/>
          <w:szCs w:val="16"/>
        </w:rPr>
      </w:pPr>
      <w:r w:rsidRPr="00FD6EC1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963346" w:rsidRPr="00FD6EC1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DD1417">
        <w:rPr>
          <w:rFonts w:ascii="Sylfaen" w:hAnsi="Sylfaen" w:cstheme="minorHAnsi"/>
          <w:color w:val="000000" w:themeColor="text1"/>
          <w:sz w:val="16"/>
          <w:szCs w:val="16"/>
        </w:rPr>
        <w:t>03/11</w:t>
      </w:r>
      <w:r w:rsidR="00181B2A">
        <w:rPr>
          <w:rFonts w:ascii="Sylfaen" w:hAnsi="Sylfaen" w:cstheme="minorHAnsi"/>
          <w:color w:val="000000" w:themeColor="text1"/>
          <w:sz w:val="16"/>
          <w:szCs w:val="16"/>
        </w:rPr>
        <w:t>/</w:t>
      </w:r>
      <w:r w:rsidRPr="00FD6EC1">
        <w:rPr>
          <w:rFonts w:ascii="Sylfaen" w:hAnsi="Sylfaen" w:cstheme="minorHAnsi"/>
          <w:color w:val="000000" w:themeColor="text1"/>
          <w:sz w:val="16"/>
          <w:szCs w:val="16"/>
        </w:rPr>
        <w:t>2022 r. odpowied</w:t>
      </w:r>
      <w:r w:rsidR="00181B2A">
        <w:rPr>
          <w:rFonts w:ascii="Sylfaen" w:hAnsi="Sylfaen" w:cstheme="minorHAnsi"/>
          <w:color w:val="000000" w:themeColor="text1"/>
          <w:sz w:val="16"/>
          <w:szCs w:val="16"/>
        </w:rPr>
        <w:t xml:space="preserve">zi na pytania i modyfikację </w:t>
      </w:r>
      <w:r w:rsidR="00FD6EC1" w:rsidRPr="00FD6EC1">
        <w:rPr>
          <w:rFonts w:ascii="Sylfaen" w:hAnsi="Sylfaen" w:cstheme="minorHAnsi"/>
          <w:color w:val="000000" w:themeColor="text1"/>
          <w:sz w:val="16"/>
          <w:szCs w:val="16"/>
        </w:rPr>
        <w:t>SWZ za</w:t>
      </w:r>
      <w:r w:rsidRPr="00FD6EC1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606226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EF6E" w14:textId="77777777" w:rsidR="00847879" w:rsidRDefault="00847879">
      <w:r>
        <w:separator/>
      </w:r>
    </w:p>
  </w:endnote>
  <w:endnote w:type="continuationSeparator" w:id="0">
    <w:p w14:paraId="3D815BE7" w14:textId="77777777" w:rsidR="00847879" w:rsidRDefault="0084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56EB" w14:textId="77777777" w:rsidR="00847879" w:rsidRDefault="00847879">
      <w:r>
        <w:separator/>
      </w:r>
    </w:p>
  </w:footnote>
  <w:footnote w:type="continuationSeparator" w:id="0">
    <w:p w14:paraId="5E1F1EC3" w14:textId="77777777" w:rsidR="00847879" w:rsidRDefault="0084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3"/>
  </w:num>
  <w:num w:numId="9" w16cid:durableId="983391731">
    <w:abstractNumId w:val="3"/>
  </w:num>
  <w:num w:numId="10" w16cid:durableId="106237597">
    <w:abstractNumId w:val="12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80140"/>
    <w:rsid w:val="000970C8"/>
    <w:rsid w:val="000A1486"/>
    <w:rsid w:val="000A3036"/>
    <w:rsid w:val="000A7696"/>
    <w:rsid w:val="000C19B9"/>
    <w:rsid w:val="000C4220"/>
    <w:rsid w:val="000C48E8"/>
    <w:rsid w:val="000D1BCF"/>
    <w:rsid w:val="000D278B"/>
    <w:rsid w:val="000E42A0"/>
    <w:rsid w:val="000F0547"/>
    <w:rsid w:val="000F3FCB"/>
    <w:rsid w:val="00100902"/>
    <w:rsid w:val="00116AC2"/>
    <w:rsid w:val="00123020"/>
    <w:rsid w:val="001233B2"/>
    <w:rsid w:val="00132E4E"/>
    <w:rsid w:val="0016738F"/>
    <w:rsid w:val="001749AA"/>
    <w:rsid w:val="00181B2A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258B"/>
    <w:rsid w:val="001E2B29"/>
    <w:rsid w:val="001F1B3F"/>
    <w:rsid w:val="001F6890"/>
    <w:rsid w:val="002124A3"/>
    <w:rsid w:val="00215956"/>
    <w:rsid w:val="002312BC"/>
    <w:rsid w:val="00247715"/>
    <w:rsid w:val="002537A1"/>
    <w:rsid w:val="00260405"/>
    <w:rsid w:val="0026576E"/>
    <w:rsid w:val="0027523B"/>
    <w:rsid w:val="00280EE1"/>
    <w:rsid w:val="00284ACF"/>
    <w:rsid w:val="00292C54"/>
    <w:rsid w:val="00295862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3000E3"/>
    <w:rsid w:val="00302B11"/>
    <w:rsid w:val="00303507"/>
    <w:rsid w:val="00313DEA"/>
    <w:rsid w:val="003146F8"/>
    <w:rsid w:val="00321994"/>
    <w:rsid w:val="00334B1C"/>
    <w:rsid w:val="003358FD"/>
    <w:rsid w:val="00345179"/>
    <w:rsid w:val="00346AB8"/>
    <w:rsid w:val="00353195"/>
    <w:rsid w:val="00354D57"/>
    <w:rsid w:val="003557EE"/>
    <w:rsid w:val="003660E5"/>
    <w:rsid w:val="00372090"/>
    <w:rsid w:val="0038057A"/>
    <w:rsid w:val="00382808"/>
    <w:rsid w:val="00393914"/>
    <w:rsid w:val="003A07F3"/>
    <w:rsid w:val="003A602B"/>
    <w:rsid w:val="003B02FC"/>
    <w:rsid w:val="003B5561"/>
    <w:rsid w:val="003B6B9F"/>
    <w:rsid w:val="003C3B36"/>
    <w:rsid w:val="003C7C41"/>
    <w:rsid w:val="003D1C3B"/>
    <w:rsid w:val="003D6F3C"/>
    <w:rsid w:val="003E2578"/>
    <w:rsid w:val="003F0DFF"/>
    <w:rsid w:val="003F3F7D"/>
    <w:rsid w:val="00411EE5"/>
    <w:rsid w:val="004248E0"/>
    <w:rsid w:val="004325D6"/>
    <w:rsid w:val="004329CC"/>
    <w:rsid w:val="004411A8"/>
    <w:rsid w:val="00446808"/>
    <w:rsid w:val="004652CA"/>
    <w:rsid w:val="00466334"/>
    <w:rsid w:val="00482FA1"/>
    <w:rsid w:val="00485EF1"/>
    <w:rsid w:val="0049375F"/>
    <w:rsid w:val="004A5C1F"/>
    <w:rsid w:val="004A7E47"/>
    <w:rsid w:val="004B0F9D"/>
    <w:rsid w:val="004B6A29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6BD7"/>
    <w:rsid w:val="005277B1"/>
    <w:rsid w:val="0053126D"/>
    <w:rsid w:val="005317A6"/>
    <w:rsid w:val="00543B03"/>
    <w:rsid w:val="005655A9"/>
    <w:rsid w:val="00572BDD"/>
    <w:rsid w:val="005762E3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7F86"/>
    <w:rsid w:val="005D17C9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0644E"/>
    <w:rsid w:val="0061244A"/>
    <w:rsid w:val="0061362B"/>
    <w:rsid w:val="00616BD8"/>
    <w:rsid w:val="0062440E"/>
    <w:rsid w:val="00624C59"/>
    <w:rsid w:val="00625797"/>
    <w:rsid w:val="0062774E"/>
    <w:rsid w:val="00631D28"/>
    <w:rsid w:val="006403A8"/>
    <w:rsid w:val="006455B8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B207B"/>
    <w:rsid w:val="006B3BA1"/>
    <w:rsid w:val="006B665F"/>
    <w:rsid w:val="006B7362"/>
    <w:rsid w:val="006C24C4"/>
    <w:rsid w:val="006C5DF4"/>
    <w:rsid w:val="006D76DE"/>
    <w:rsid w:val="006E6B30"/>
    <w:rsid w:val="006F02C8"/>
    <w:rsid w:val="00700984"/>
    <w:rsid w:val="00704FAE"/>
    <w:rsid w:val="00705211"/>
    <w:rsid w:val="00705F29"/>
    <w:rsid w:val="00715865"/>
    <w:rsid w:val="007343D7"/>
    <w:rsid w:val="00741B87"/>
    <w:rsid w:val="00742999"/>
    <w:rsid w:val="00742B89"/>
    <w:rsid w:val="0075055D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2041D"/>
    <w:rsid w:val="008224A1"/>
    <w:rsid w:val="00827B55"/>
    <w:rsid w:val="00840F94"/>
    <w:rsid w:val="00846F6A"/>
    <w:rsid w:val="00847879"/>
    <w:rsid w:val="008507BA"/>
    <w:rsid w:val="0086157D"/>
    <w:rsid w:val="00864A59"/>
    <w:rsid w:val="00864CAF"/>
    <w:rsid w:val="00870D14"/>
    <w:rsid w:val="00882B14"/>
    <w:rsid w:val="00894105"/>
    <w:rsid w:val="008A050C"/>
    <w:rsid w:val="008A2516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4DF1"/>
    <w:rsid w:val="009106FD"/>
    <w:rsid w:val="0091532C"/>
    <w:rsid w:val="00922BF0"/>
    <w:rsid w:val="009241C2"/>
    <w:rsid w:val="009328EB"/>
    <w:rsid w:val="00942201"/>
    <w:rsid w:val="00943ADF"/>
    <w:rsid w:val="00943D79"/>
    <w:rsid w:val="00952C63"/>
    <w:rsid w:val="00954255"/>
    <w:rsid w:val="0095670F"/>
    <w:rsid w:val="00963346"/>
    <w:rsid w:val="009743A5"/>
    <w:rsid w:val="00981D7A"/>
    <w:rsid w:val="009909ED"/>
    <w:rsid w:val="0099150B"/>
    <w:rsid w:val="00997C03"/>
    <w:rsid w:val="009A2835"/>
    <w:rsid w:val="009A2981"/>
    <w:rsid w:val="009A3D8C"/>
    <w:rsid w:val="009B665E"/>
    <w:rsid w:val="009C3752"/>
    <w:rsid w:val="009C58F1"/>
    <w:rsid w:val="009D12B5"/>
    <w:rsid w:val="009E0ABC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5074F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DA7"/>
    <w:rsid w:val="00AB4F5C"/>
    <w:rsid w:val="00AC64D0"/>
    <w:rsid w:val="00AD08CC"/>
    <w:rsid w:val="00AD4344"/>
    <w:rsid w:val="00AE063F"/>
    <w:rsid w:val="00AE137F"/>
    <w:rsid w:val="00AE1AA6"/>
    <w:rsid w:val="00AE367A"/>
    <w:rsid w:val="00B15090"/>
    <w:rsid w:val="00B318F7"/>
    <w:rsid w:val="00B34264"/>
    <w:rsid w:val="00B5008E"/>
    <w:rsid w:val="00B54BE7"/>
    <w:rsid w:val="00B664C8"/>
    <w:rsid w:val="00B75BE1"/>
    <w:rsid w:val="00B8579F"/>
    <w:rsid w:val="00B87AE8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E36EE"/>
    <w:rsid w:val="00BF4650"/>
    <w:rsid w:val="00BF5013"/>
    <w:rsid w:val="00C06CEC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B0888"/>
    <w:rsid w:val="00CB54EB"/>
    <w:rsid w:val="00CC5AD3"/>
    <w:rsid w:val="00CD2A12"/>
    <w:rsid w:val="00CD502F"/>
    <w:rsid w:val="00CD6996"/>
    <w:rsid w:val="00CE4EA5"/>
    <w:rsid w:val="00CE654D"/>
    <w:rsid w:val="00CE743F"/>
    <w:rsid w:val="00CF3F18"/>
    <w:rsid w:val="00D03286"/>
    <w:rsid w:val="00D041DC"/>
    <w:rsid w:val="00D0509F"/>
    <w:rsid w:val="00D10420"/>
    <w:rsid w:val="00D138A0"/>
    <w:rsid w:val="00D21D66"/>
    <w:rsid w:val="00D23CC7"/>
    <w:rsid w:val="00D26C48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A5874"/>
    <w:rsid w:val="00DA626D"/>
    <w:rsid w:val="00DB059A"/>
    <w:rsid w:val="00DB20BC"/>
    <w:rsid w:val="00DB5444"/>
    <w:rsid w:val="00DC67BA"/>
    <w:rsid w:val="00DD137E"/>
    <w:rsid w:val="00DD1417"/>
    <w:rsid w:val="00DD69CC"/>
    <w:rsid w:val="00DE023B"/>
    <w:rsid w:val="00DE3BA1"/>
    <w:rsid w:val="00DF62CB"/>
    <w:rsid w:val="00E03153"/>
    <w:rsid w:val="00E07BA1"/>
    <w:rsid w:val="00E10252"/>
    <w:rsid w:val="00E141DE"/>
    <w:rsid w:val="00E16884"/>
    <w:rsid w:val="00E2154C"/>
    <w:rsid w:val="00E459B2"/>
    <w:rsid w:val="00E479AC"/>
    <w:rsid w:val="00E56730"/>
    <w:rsid w:val="00E56935"/>
    <w:rsid w:val="00E6175F"/>
    <w:rsid w:val="00E640B6"/>
    <w:rsid w:val="00E642BE"/>
    <w:rsid w:val="00E66668"/>
    <w:rsid w:val="00E73A51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F2C48"/>
    <w:rsid w:val="00EF4809"/>
    <w:rsid w:val="00EF60BE"/>
    <w:rsid w:val="00F00F3D"/>
    <w:rsid w:val="00F10CE7"/>
    <w:rsid w:val="00F12DA7"/>
    <w:rsid w:val="00F152A4"/>
    <w:rsid w:val="00F26A33"/>
    <w:rsid w:val="00F4400B"/>
    <w:rsid w:val="00F45313"/>
    <w:rsid w:val="00F47461"/>
    <w:rsid w:val="00F47FD1"/>
    <w:rsid w:val="00F57398"/>
    <w:rsid w:val="00F5765A"/>
    <w:rsid w:val="00F71373"/>
    <w:rsid w:val="00F758BF"/>
    <w:rsid w:val="00F75EE3"/>
    <w:rsid w:val="00F80BF7"/>
    <w:rsid w:val="00F9081C"/>
    <w:rsid w:val="00F90DAF"/>
    <w:rsid w:val="00F92AED"/>
    <w:rsid w:val="00F976FB"/>
    <w:rsid w:val="00F97F2E"/>
    <w:rsid w:val="00FB32BE"/>
    <w:rsid w:val="00FB3AD5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0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2</cp:revision>
  <cp:lastPrinted>2022-11-03T09:04:00Z</cp:lastPrinted>
  <dcterms:created xsi:type="dcterms:W3CDTF">2022-11-03T09:04:00Z</dcterms:created>
  <dcterms:modified xsi:type="dcterms:W3CDTF">2022-11-03T09:04:00Z</dcterms:modified>
</cp:coreProperties>
</file>